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line="174" w:lineRule="exact" w:before="84"/>
      </w:pPr>
      <w:r>
        <w:rPr>
          <w:w w:val="95"/>
        </w:rPr>
        <w:t>CLAVES DEL información de prescripción</w:t>
      </w:r>
    </w:p>
    <w:p>
      <w:pPr>
        <w:spacing w:line="216" w:lineRule="auto" w:before="6"/>
        <w:ind w:left="140" w:right="1059" w:firstLine="0"/>
        <w:jc w:val="left"/>
        <w:rPr>
          <w:b/>
          <w:sz w:val="16"/>
        </w:rPr>
      </w:pPr>
      <w:r>
        <w:rPr>
          <w:b/>
          <w:w w:val="90"/>
          <w:sz w:val="16"/>
        </w:rPr>
        <w:t>Estos puntos destacados no incluyen toda la información necesaria para utilizar ABILIFY Mantenim con seguridad y eficacia.</w:t>
      </w:r>
    </w:p>
    <w:p>
      <w:pPr>
        <w:spacing w:line="168" w:lineRule="exact" w:before="0"/>
        <w:ind w:left="140" w:right="0" w:firstLine="0"/>
        <w:jc w:val="left"/>
        <w:rPr>
          <w:b/>
          <w:sz w:val="16"/>
        </w:rPr>
      </w:pPr>
      <w:r>
        <w:rPr>
          <w:b/>
          <w:w w:val="95"/>
          <w:sz w:val="16"/>
        </w:rPr>
        <w:t>Ver información de prescripción completa de aripiprazol Mantenim.</w:t>
      </w:r>
    </w:p>
    <w:p>
      <w:pPr>
        <w:spacing w:line="216" w:lineRule="auto" w:before="54"/>
        <w:ind w:left="140" w:right="25" w:hanging="1"/>
        <w:jc w:val="left"/>
        <w:rPr>
          <w:b/>
          <w:sz w:val="16"/>
        </w:rPr>
      </w:pPr>
      <w:r>
        <w:rPr>
          <w:b/>
          <w:w w:val="90"/>
          <w:sz w:val="16"/>
        </w:rPr>
        <w:t>ABILIFY Mantenim</w:t>
      </w:r>
      <w:r>
        <w:rPr>
          <w:b/>
          <w:w w:val="90"/>
          <w:position w:val="5"/>
          <w:sz w:val="9"/>
        </w:rPr>
        <w:t>® </w:t>
      </w:r>
      <w:r>
        <w:rPr>
          <w:b/>
          <w:w w:val="90"/>
          <w:sz w:val="16"/>
        </w:rPr>
        <w:t>(Aripiprazol) para suspensión inyectable de liberación prolongada, para uso intramuscular</w:t>
      </w:r>
    </w:p>
    <w:p>
      <w:pPr>
        <w:spacing w:line="168" w:lineRule="exact" w:before="0"/>
        <w:ind w:left="140" w:right="0" w:firstLine="0"/>
        <w:jc w:val="left"/>
        <w:rPr>
          <w:b/>
          <w:sz w:val="16"/>
        </w:rPr>
      </w:pPr>
      <w:r>
        <w:rPr>
          <w:b/>
          <w:sz w:val="16"/>
        </w:rPr>
        <w:t>Aprobación inicial en los Estados Unidos: 2002</w:t>
      </w:r>
    </w:p>
    <w:p>
      <w:pPr>
        <w:pStyle w:val="BodyText"/>
        <w:spacing w:before="5"/>
        <w:rPr>
          <w:b/>
          <w:sz w:val="6"/>
        </w:rPr>
      </w:pPr>
    </w:p>
    <w:p>
      <w:pPr>
        <w:pStyle w:val="BodyText"/>
        <w:ind w:left="142" w:right="-44"/>
        <w:rPr>
          <w:sz w:val="20"/>
        </w:rPr>
      </w:pPr>
      <w:r>
        <w:rPr>
          <w:position w:val="0"/>
          <w:sz w:val="20"/>
        </w:rPr>
        <w:pict>
          <v:shapetype id="_x0000_t202" o:spt="202" coordsize="21600,21600" path="m,l,21600r21600,l21600,xe">
            <v:stroke joinstyle="miter"/>
            <v:path gradientshapeok="t" o:connecttype="rect"/>
          </v:shapetype>
          <v:shape style="width:262.8pt;height:69.4pt;mso-position-horizontal-relative:char;mso-position-vertical-relative:line" type="#_x0000_t202" filled="false" stroked="true" strokeweight="1pt" strokecolor="#000000">
            <w10:anchorlock/>
            <v:textbox inset="0,0,0,0">
              <w:txbxContent>
                <w:p>
                  <w:pPr>
                    <w:spacing w:line="213" w:lineRule="auto" w:before="80"/>
                    <w:ind w:left="519" w:right="517" w:firstLine="0"/>
                    <w:jc w:val="center"/>
                    <w:rPr>
                      <w:b/>
                      <w:sz w:val="16"/>
                    </w:rPr>
                  </w:pPr>
                  <w:r>
                    <w:rPr>
                      <w:b/>
                      <w:w w:val="85"/>
                      <w:sz w:val="16"/>
                    </w:rPr>
                    <w:t>ADVERTENCIA: aumento de la mortalidad en pacientes ancianos con psicosis demencia RELACIONADOS</w:t>
                  </w:r>
                </w:p>
                <w:p>
                  <w:pPr>
                    <w:spacing w:line="168" w:lineRule="exact" w:before="0"/>
                    <w:ind w:left="624" w:right="0" w:firstLine="0"/>
                    <w:jc w:val="left"/>
                    <w:rPr>
                      <w:b/>
                      <w:i/>
                      <w:sz w:val="16"/>
                    </w:rPr>
                  </w:pPr>
                  <w:r>
                    <w:rPr>
                      <w:b/>
                      <w:i/>
                      <w:sz w:val="16"/>
                    </w:rPr>
                    <w:t>Ver ficha técnica completa de advertencia en el envase completo.</w:t>
                  </w:r>
                </w:p>
                <w:p>
                  <w:pPr>
                    <w:numPr>
                      <w:ilvl w:val="0"/>
                      <w:numId w:val="1"/>
                    </w:numPr>
                    <w:tabs>
                      <w:tab w:pos="450" w:val="left" w:leader="none"/>
                    </w:tabs>
                    <w:spacing w:line="213" w:lineRule="auto" w:before="68"/>
                    <w:ind w:left="449" w:right="198" w:hanging="250"/>
                    <w:jc w:val="left"/>
                    <w:rPr>
                      <w:b/>
                      <w:sz w:val="16"/>
                    </w:rPr>
                  </w:pPr>
                  <w:r>
                    <w:rPr>
                      <w:b/>
                      <w:sz w:val="16"/>
                    </w:rPr>
                    <w:t>Los pacientes ancianos con psicosis relacionada con demencia tratados con fármacos antipsicóticos tienen un mayor riesgo de muerte (</w:t>
                  </w:r>
                  <w:r>
                    <w:rPr>
                      <w:sz w:val="16"/>
                    </w:rPr>
                    <w:t>5.1)</w:t>
                  </w:r>
                </w:p>
                <w:p>
                  <w:pPr>
                    <w:numPr>
                      <w:ilvl w:val="0"/>
                      <w:numId w:val="1"/>
                    </w:numPr>
                    <w:tabs>
                      <w:tab w:pos="450" w:val="left" w:leader="none"/>
                    </w:tabs>
                    <w:spacing w:line="213" w:lineRule="auto" w:before="1"/>
                    <w:ind w:left="449" w:right="197" w:hanging="250"/>
                    <w:jc w:val="left"/>
                    <w:rPr>
                      <w:b/>
                      <w:sz w:val="16"/>
                    </w:rPr>
                  </w:pPr>
                  <w:r>
                    <w:rPr>
                      <w:b/>
                      <w:w w:val="90"/>
                      <w:sz w:val="16"/>
                    </w:rPr>
                    <w:t>ABILIFY Mantenim no está aprobado para el tratamiento de pacientes con </w:t>
                  </w:r>
                  <w:r>
                    <w:rPr>
                      <w:b/>
                      <w:sz w:val="16"/>
                    </w:rPr>
                    <w:t>demencia relacionada con la psicosis (</w:t>
                  </w:r>
                  <w:r>
                    <w:rPr>
                      <w:sz w:val="16"/>
                    </w:rPr>
                    <w:t>5.1)</w:t>
                  </w:r>
                </w:p>
              </w:txbxContent>
            </v:textbox>
            <v:stroke dashstyle="solid"/>
          </v:shape>
        </w:pict>
      </w:r>
      <w:r>
        <w:rPr>
          <w:position w:val="0"/>
          <w:sz w:val="20"/>
        </w:rPr>
      </w:r>
    </w:p>
    <w:p>
      <w:pPr>
        <w:spacing w:line="173" w:lineRule="exact" w:before="135"/>
        <w:ind w:left="154" w:right="0" w:firstLine="0"/>
        <w:jc w:val="left"/>
        <w:rPr>
          <w:b/>
          <w:sz w:val="16"/>
        </w:rPr>
      </w:pPr>
      <w:r>
        <w:rPr>
          <w:b/>
          <w:w w:val="95"/>
          <w:sz w:val="16"/>
        </w:rPr>
        <w:t>----------------------------------INDICACIONES Y USO------------- --------------------</w:t>
      </w:r>
    </w:p>
    <w:p>
      <w:pPr>
        <w:pStyle w:val="BodyText"/>
        <w:spacing w:line="169" w:lineRule="exact"/>
        <w:ind w:left="139"/>
      </w:pPr>
      <w:r>
        <w:rPr/>
        <w:t>ABILIFY Mantenim es un antipsicótico atípico indicado para:</w:t>
      </w:r>
    </w:p>
    <w:p>
      <w:pPr>
        <w:pStyle w:val="ListParagraph"/>
        <w:numPr>
          <w:ilvl w:val="0"/>
          <w:numId w:val="2"/>
        </w:numPr>
        <w:tabs>
          <w:tab w:pos="274" w:val="left" w:leader="none"/>
        </w:tabs>
        <w:spacing w:line="176" w:lineRule="exact" w:before="0" w:after="0"/>
        <w:ind w:left="319" w:right="0" w:hanging="180"/>
        <w:jc w:val="left"/>
        <w:rPr>
          <w:sz w:val="16"/>
        </w:rPr>
      </w:pPr>
      <w:r>
        <w:rPr>
          <w:sz w:val="16"/>
        </w:rPr>
        <w:t>El tratamiento de la esquizofrenia en adultos (1)</w:t>
      </w:r>
    </w:p>
    <w:p>
      <w:pPr>
        <w:pStyle w:val="ListParagraph"/>
        <w:numPr>
          <w:ilvl w:val="0"/>
          <w:numId w:val="2"/>
        </w:numPr>
        <w:tabs>
          <w:tab w:pos="274" w:val="left" w:leader="none"/>
        </w:tabs>
        <w:spacing w:line="180" w:lineRule="exact" w:before="0" w:after="0"/>
        <w:ind w:left="319" w:right="0" w:hanging="180"/>
        <w:jc w:val="left"/>
        <w:rPr>
          <w:sz w:val="16"/>
        </w:rPr>
      </w:pPr>
      <w:r>
        <w:rPr>
          <w:sz w:val="16"/>
        </w:rPr>
        <w:t>tratamiento de monoterapia de mantenimiento del trastorno bipolar I en adultos (1)</w:t>
      </w:r>
    </w:p>
    <w:p>
      <w:pPr>
        <w:pStyle w:val="Heading3"/>
        <w:spacing w:line="173" w:lineRule="exact" w:before="35"/>
        <w:ind w:left="139"/>
      </w:pPr>
      <w:r>
        <w:rPr>
          <w:w w:val="90"/>
        </w:rPr>
        <w:t>-------------------------------DOSIFICACIÓN Y ADMINISTRACIÓN---------------- -------------</w:t>
      </w:r>
    </w:p>
    <w:p>
      <w:pPr>
        <w:pStyle w:val="ListParagraph"/>
        <w:numPr>
          <w:ilvl w:val="0"/>
          <w:numId w:val="2"/>
        </w:numPr>
        <w:tabs>
          <w:tab w:pos="320" w:val="left" w:leader="none"/>
        </w:tabs>
        <w:spacing w:line="211" w:lineRule="auto" w:before="7" w:after="0"/>
        <w:ind w:left="319" w:right="38" w:hanging="180"/>
        <w:jc w:val="left"/>
        <w:rPr>
          <w:sz w:val="16"/>
        </w:rPr>
      </w:pPr>
      <w:r>
        <w:rPr>
          <w:w w:val="95"/>
          <w:sz w:val="16"/>
        </w:rPr>
        <w:t>Sólo para ser administrada por inyección intramuscular en el deltoides o en el glúteo </w:t>
      </w:r>
      <w:r>
        <w:rPr>
          <w:sz w:val="16"/>
        </w:rPr>
        <w:t>por un profesional de la salud (2.1)</w:t>
      </w:r>
    </w:p>
    <w:p>
      <w:pPr>
        <w:pStyle w:val="ListParagraph"/>
        <w:numPr>
          <w:ilvl w:val="0"/>
          <w:numId w:val="2"/>
        </w:numPr>
        <w:tabs>
          <w:tab w:pos="320" w:val="left" w:leader="none"/>
        </w:tabs>
        <w:spacing w:line="211" w:lineRule="auto" w:before="15" w:after="0"/>
        <w:ind w:left="319" w:right="38" w:hanging="180"/>
        <w:jc w:val="left"/>
        <w:rPr>
          <w:sz w:val="16"/>
        </w:rPr>
      </w:pPr>
      <w:r>
        <w:rPr>
          <w:w w:val="90"/>
          <w:sz w:val="16"/>
        </w:rPr>
        <w:t>Para los pacientes no tratados previamente con aripiprazol, establecer la tolerabilidad con aripiprazol oral antes </w:t>
      </w:r>
      <w:r>
        <w:rPr>
          <w:sz w:val="16"/>
        </w:rPr>
        <w:t>de iniciar ABILIFY Mantenim (2,1)</w:t>
      </w:r>
    </w:p>
    <w:p>
      <w:pPr>
        <w:pStyle w:val="ListParagraph"/>
        <w:numPr>
          <w:ilvl w:val="0"/>
          <w:numId w:val="2"/>
        </w:numPr>
        <w:tabs>
          <w:tab w:pos="320" w:val="left" w:leader="none"/>
        </w:tabs>
        <w:spacing w:line="211" w:lineRule="auto" w:before="14" w:after="0"/>
        <w:ind w:left="319" w:right="38" w:hanging="180"/>
        <w:jc w:val="both"/>
        <w:rPr>
          <w:sz w:val="16"/>
        </w:rPr>
      </w:pPr>
      <w:r>
        <w:rPr>
          <w:w w:val="90"/>
          <w:sz w:val="16"/>
        </w:rPr>
        <w:t>dosis inicial y de mantenimiento recomendada es de 400 mg administrados mensual como una sola inyección. Dosis puede reducirse a 300 mg en pacientes con adverso</w:t>
      </w:r>
      <w:r>
        <w:rPr>
          <w:sz w:val="16"/>
        </w:rPr>
        <w:t>reacciones (2.1)</w:t>
      </w:r>
    </w:p>
    <w:p>
      <w:pPr>
        <w:pStyle w:val="ListParagraph"/>
        <w:numPr>
          <w:ilvl w:val="0"/>
          <w:numId w:val="2"/>
        </w:numPr>
        <w:tabs>
          <w:tab w:pos="320" w:val="left" w:leader="none"/>
        </w:tabs>
        <w:spacing w:line="211" w:lineRule="auto" w:before="15" w:after="0"/>
        <w:ind w:left="319" w:right="38" w:hanging="180"/>
        <w:jc w:val="left"/>
        <w:rPr>
          <w:sz w:val="16"/>
        </w:rPr>
      </w:pPr>
      <w:r>
        <w:rPr>
          <w:sz w:val="16"/>
        </w:rPr>
        <w:t>En conjunción con la primera dosis, tomar 14 días consecutivos de aripiprazol concurrente oral (10 mg a 20 mg) o antipsicótico oral de corriente (2,1)</w:t>
      </w:r>
    </w:p>
    <w:p>
      <w:pPr>
        <w:pStyle w:val="ListParagraph"/>
        <w:numPr>
          <w:ilvl w:val="0"/>
          <w:numId w:val="2"/>
        </w:numPr>
        <w:tabs>
          <w:tab w:pos="320" w:val="left" w:leader="none"/>
        </w:tabs>
        <w:spacing w:line="177" w:lineRule="exact" w:before="0" w:after="0"/>
        <w:ind w:left="319" w:right="0" w:hanging="180"/>
        <w:jc w:val="left"/>
        <w:rPr>
          <w:sz w:val="16"/>
        </w:rPr>
      </w:pPr>
      <w:r>
        <w:rPr>
          <w:sz w:val="16"/>
        </w:rPr>
        <w:t>se requieren ajustes de la dosis para las dosis perdidas (2,2)</w:t>
      </w:r>
    </w:p>
    <w:p>
      <w:pPr>
        <w:pStyle w:val="ListParagraph"/>
        <w:numPr>
          <w:ilvl w:val="0"/>
          <w:numId w:val="2"/>
        </w:numPr>
        <w:tabs>
          <w:tab w:pos="320" w:val="left" w:leader="none"/>
        </w:tabs>
        <w:spacing w:line="211" w:lineRule="auto" w:before="14" w:after="0"/>
        <w:ind w:left="319" w:right="38" w:hanging="180"/>
        <w:jc w:val="left"/>
        <w:rPr>
          <w:sz w:val="16"/>
        </w:rPr>
      </w:pPr>
      <w:r>
        <w:rPr>
          <w:w w:val="90"/>
          <w:sz w:val="16"/>
        </w:rPr>
        <w:t>CYP2D6 conocido metabolizadores pobres: inicial y de mantenimiento recomendada </w:t>
      </w:r>
      <w:r>
        <w:rPr>
          <w:sz w:val="16"/>
        </w:rPr>
        <w:t>dosis es de 300 mg administrada mensualmente como una sola inyección (2.3)</w:t>
      </w:r>
    </w:p>
    <w:p>
      <w:pPr>
        <w:pStyle w:val="ListParagraph"/>
        <w:numPr>
          <w:ilvl w:val="0"/>
          <w:numId w:val="2"/>
        </w:numPr>
        <w:tabs>
          <w:tab w:pos="320" w:val="left" w:leader="none"/>
        </w:tabs>
        <w:spacing w:line="211" w:lineRule="auto" w:before="14" w:after="0"/>
        <w:ind w:left="319" w:right="38" w:hanging="180"/>
        <w:jc w:val="both"/>
        <w:rPr>
          <w:sz w:val="16"/>
        </w:rPr>
      </w:pPr>
      <w:r>
        <w:rPr>
          <w:w w:val="90"/>
          <w:sz w:val="16"/>
        </w:rPr>
        <w:t>ABILIFY Mantenim viene en dos tipos de kits. Vea las instrucciones para la inyección / procedimientos de reconstitución / eliminación para 1) precargada de doble cámara de la jeringa (2.5), y</w:t>
      </w:r>
      <w:r>
        <w:rPr>
          <w:sz w:val="16"/>
        </w:rPr>
        <w:t>2) viales (2.6).</w:t>
      </w:r>
    </w:p>
    <w:p>
      <w:pPr>
        <w:pStyle w:val="Heading3"/>
        <w:spacing w:line="169" w:lineRule="exact"/>
        <w:ind w:left="161"/>
      </w:pPr>
      <w:r>
        <w:rPr>
          <w:w w:val="90"/>
        </w:rPr>
        <w:t>----------------------------- FORMAS FARMACÉUTICAS Y CONCENTRACIONES ----------------- ----------</w:t>
      </w:r>
    </w:p>
    <w:p>
      <w:pPr>
        <w:spacing w:line="211" w:lineRule="auto" w:before="7"/>
        <w:ind w:left="139" w:right="31" w:firstLine="0"/>
        <w:jc w:val="left"/>
        <w:rPr>
          <w:sz w:val="16"/>
        </w:rPr>
      </w:pPr>
      <w:r>
        <w:rPr>
          <w:i/>
          <w:w w:val="90"/>
          <w:sz w:val="16"/>
        </w:rPr>
        <w:t>Para la suspensión inyectable de liberación prolongada: </w:t>
      </w:r>
      <w:r>
        <w:rPr>
          <w:w w:val="90"/>
          <w:sz w:val="16"/>
        </w:rPr>
        <w:t>300 mg y 400 mg-liofilizado fuerza </w:t>
      </w:r>
      <w:r>
        <w:rPr>
          <w:sz w:val="16"/>
        </w:rPr>
        <w:t>polvo para reconstitución en (3):</w:t>
      </w:r>
    </w:p>
    <w:p>
      <w:pPr>
        <w:pStyle w:val="ListParagraph"/>
        <w:numPr>
          <w:ilvl w:val="0"/>
          <w:numId w:val="2"/>
        </w:numPr>
        <w:tabs>
          <w:tab w:pos="320" w:val="left" w:leader="none"/>
        </w:tabs>
        <w:spacing w:line="177" w:lineRule="exact" w:before="0" w:after="0"/>
        <w:ind w:left="319" w:right="0" w:hanging="180"/>
        <w:jc w:val="left"/>
        <w:rPr>
          <w:sz w:val="16"/>
        </w:rPr>
      </w:pPr>
      <w:r>
        <w:rPr>
          <w:sz w:val="16"/>
        </w:rPr>
        <w:t>De dosis única, pre-llenado, la jeringa de doble cámara</w:t>
      </w:r>
    </w:p>
    <w:p>
      <w:pPr>
        <w:pStyle w:val="ListParagraph"/>
        <w:numPr>
          <w:ilvl w:val="0"/>
          <w:numId w:val="2"/>
        </w:numPr>
        <w:tabs>
          <w:tab w:pos="320" w:val="left" w:leader="none"/>
        </w:tabs>
        <w:spacing w:line="180" w:lineRule="exact" w:before="0" w:after="0"/>
        <w:ind w:left="319" w:right="0" w:hanging="180"/>
        <w:jc w:val="left"/>
        <w:rPr>
          <w:sz w:val="16"/>
        </w:rPr>
      </w:pPr>
      <w:r>
        <w:rPr>
          <w:sz w:val="16"/>
        </w:rPr>
        <w:t>vial de dosis única</w:t>
      </w:r>
    </w:p>
    <w:p>
      <w:pPr>
        <w:pStyle w:val="Heading3"/>
        <w:spacing w:line="173" w:lineRule="exact" w:before="36"/>
        <w:ind w:left="154"/>
      </w:pPr>
      <w:r>
        <w:rPr>
          <w:w w:val="95"/>
        </w:rPr>
        <w:t>------------------------------------ Contraindicaciones ------------- -----------------------</w:t>
      </w:r>
    </w:p>
    <w:p>
      <w:pPr>
        <w:pStyle w:val="BodyText"/>
        <w:spacing w:line="173" w:lineRule="exact"/>
        <w:ind w:left="139"/>
      </w:pPr>
      <w:r>
        <w:rPr/>
        <w:t>Hipersensibilidad conocida a aripiprazol (4)</w:t>
      </w:r>
    </w:p>
    <w:p>
      <w:pPr>
        <w:pStyle w:val="Heading3"/>
        <w:spacing w:line="173" w:lineRule="exact" w:before="35"/>
        <w:ind w:left="151"/>
      </w:pPr>
      <w:r>
        <w:rPr>
          <w:w w:val="90"/>
        </w:rPr>
        <w:t>------------------------------ADVERTENCIAS Y PRECAUCIONES----------------- -------------</w:t>
      </w:r>
    </w:p>
    <w:p>
      <w:pPr>
        <w:pStyle w:val="ListParagraph"/>
        <w:numPr>
          <w:ilvl w:val="0"/>
          <w:numId w:val="2"/>
        </w:numPr>
        <w:tabs>
          <w:tab w:pos="320" w:val="left" w:leader="none"/>
        </w:tabs>
        <w:spacing w:line="211" w:lineRule="auto" w:before="7" w:after="0"/>
        <w:ind w:left="319" w:right="39" w:hanging="180"/>
        <w:jc w:val="both"/>
        <w:rPr>
          <w:sz w:val="16"/>
        </w:rPr>
      </w:pPr>
      <w:r>
        <w:rPr>
          <w:i/>
          <w:w w:val="90"/>
          <w:sz w:val="16"/>
        </w:rPr>
        <w:t>Reacciones adversas cerebrovasculares en pacientes ancianos con psicosis relacionada con demencia: </w:t>
      </w:r>
      <w:r>
        <w:rPr>
          <w:w w:val="90"/>
          <w:sz w:val="16"/>
        </w:rPr>
        <w:t>Aumento de la incidencia de reacciones adversas cerebrovasculares (por ejemplo, accidente cerebrovascular, </w:t>
      </w:r>
      <w:r>
        <w:rPr>
          <w:sz w:val="16"/>
        </w:rPr>
        <w:t>ataque isquémico transitorio, incluyendo muertes) (5,2)</w:t>
      </w:r>
    </w:p>
    <w:p>
      <w:pPr>
        <w:pStyle w:val="ListParagraph"/>
        <w:numPr>
          <w:ilvl w:val="0"/>
          <w:numId w:val="2"/>
        </w:numPr>
        <w:tabs>
          <w:tab w:pos="320" w:val="left" w:leader="none"/>
        </w:tabs>
        <w:spacing w:line="211" w:lineRule="auto" w:before="29" w:after="0"/>
        <w:ind w:left="319" w:right="38" w:hanging="180"/>
        <w:jc w:val="left"/>
        <w:rPr>
          <w:sz w:val="16"/>
        </w:rPr>
      </w:pPr>
      <w:r>
        <w:rPr>
          <w:i/>
          <w:w w:val="95"/>
          <w:sz w:val="16"/>
        </w:rPr>
        <w:t>Síndrome neuroléptico maligno: </w:t>
      </w:r>
      <w:r>
        <w:rPr>
          <w:w w:val="95"/>
          <w:sz w:val="16"/>
        </w:rPr>
        <w:t>Manejar con la interrupción inmediata y </w:t>
      </w:r>
      <w:r>
        <w:rPr>
          <w:sz w:val="16"/>
        </w:rPr>
        <w:t>vigilancia estrecha (5,3)</w:t>
      </w:r>
    </w:p>
    <w:p>
      <w:pPr>
        <w:pStyle w:val="ListParagraph"/>
        <w:numPr>
          <w:ilvl w:val="0"/>
          <w:numId w:val="2"/>
        </w:numPr>
        <w:tabs>
          <w:tab w:pos="320" w:val="left" w:leader="none"/>
        </w:tabs>
        <w:spacing w:line="240" w:lineRule="auto" w:before="11" w:after="0"/>
        <w:ind w:left="319" w:right="0" w:hanging="180"/>
        <w:jc w:val="left"/>
        <w:rPr>
          <w:sz w:val="16"/>
        </w:rPr>
      </w:pPr>
      <w:r>
        <w:rPr>
          <w:i/>
          <w:sz w:val="16"/>
        </w:rPr>
        <w:t>La discinesia tardía: </w:t>
      </w:r>
      <w:r>
        <w:rPr>
          <w:sz w:val="16"/>
        </w:rPr>
        <w:t>Suspender si clínicamente apropiado (5,4)</w:t>
      </w:r>
    </w:p>
    <w:p>
      <w:pPr>
        <w:pStyle w:val="ListParagraph"/>
        <w:numPr>
          <w:ilvl w:val="0"/>
          <w:numId w:val="2"/>
        </w:numPr>
        <w:tabs>
          <w:tab w:pos="320" w:val="left" w:leader="none"/>
        </w:tabs>
        <w:spacing w:line="211" w:lineRule="auto" w:before="25" w:after="0"/>
        <w:ind w:left="319" w:right="38" w:hanging="180"/>
        <w:jc w:val="both"/>
        <w:rPr>
          <w:sz w:val="16"/>
        </w:rPr>
      </w:pPr>
      <w:r>
        <w:rPr>
          <w:i/>
          <w:w w:val="95"/>
          <w:sz w:val="16"/>
        </w:rPr>
        <w:t>Los cambios metabólicos: </w:t>
      </w:r>
      <w:r>
        <w:rPr>
          <w:w w:val="95"/>
          <w:sz w:val="16"/>
        </w:rPr>
        <w:t>Los fármacos antipsicóticos atípicos se han asociado con cambios metabólicos que pueden aumentar el riesgo cardiovascular / cerebrovascular. Estos cambios metabólicos incluyen hiperglucemia, dislipidemia, y aumento de peso (5,5)</w:t>
      </w:r>
    </w:p>
    <w:p>
      <w:pPr>
        <w:pStyle w:val="ListParagraph"/>
        <w:numPr>
          <w:ilvl w:val="1"/>
          <w:numId w:val="2"/>
        </w:numPr>
        <w:tabs>
          <w:tab w:pos="500" w:val="left" w:leader="none"/>
        </w:tabs>
        <w:spacing w:line="216" w:lineRule="auto" w:before="29" w:after="0"/>
        <w:ind w:left="499" w:right="38" w:hanging="180"/>
        <w:jc w:val="both"/>
        <w:rPr>
          <w:sz w:val="16"/>
        </w:rPr>
      </w:pPr>
      <w:r>
        <w:rPr>
          <w:i/>
          <w:w w:val="95"/>
          <w:sz w:val="16"/>
        </w:rPr>
        <w:t>Hiperglucemia y diabetes mellitus: </w:t>
      </w:r>
      <w:r>
        <w:rPr>
          <w:w w:val="95"/>
          <w:sz w:val="16"/>
        </w:rPr>
        <w:t>Controlar a los pacientes para los síntomas de hiperglucemia incluyendo polidipsia, poliuria, polifagia y debilidad. </w:t>
      </w:r>
      <w:r>
        <w:rPr>
          <w:sz w:val="16"/>
        </w:rPr>
        <w:t>Medidor de glucosa en pacientes con regularidad y en situación de riesgo para la diabetes (5,5)</w:t>
      </w:r>
    </w:p>
    <w:p>
      <w:pPr>
        <w:pStyle w:val="ListParagraph"/>
        <w:numPr>
          <w:ilvl w:val="1"/>
          <w:numId w:val="2"/>
        </w:numPr>
        <w:tabs>
          <w:tab w:pos="500" w:val="left" w:leader="none"/>
        </w:tabs>
        <w:spacing w:line="216" w:lineRule="auto" w:before="97" w:after="0"/>
        <w:ind w:left="499" w:right="718" w:hanging="180"/>
        <w:jc w:val="left"/>
        <w:rPr>
          <w:sz w:val="16"/>
        </w:rPr>
      </w:pPr>
      <w:r>
        <w:rPr>
          <w:i/>
          <w:spacing w:val="-1"/>
          <w:w w:val="89"/>
          <w:sz w:val="16"/>
        </w:rPr>
        <w:br w:type="column"/>
      </w:r>
      <w:r>
        <w:rPr>
          <w:i/>
          <w:w w:val="90"/>
          <w:sz w:val="16"/>
        </w:rPr>
        <w:t>dislipidemia: </w:t>
      </w:r>
      <w:r>
        <w:rPr>
          <w:w w:val="90"/>
          <w:sz w:val="16"/>
        </w:rPr>
        <w:t>alteraciones indeseables se han observado en pacientes tratados </w:t>
      </w:r>
      <w:r>
        <w:rPr>
          <w:sz w:val="16"/>
        </w:rPr>
        <w:t>con antipsicóticos atípicos (5.5)</w:t>
      </w:r>
    </w:p>
    <w:p>
      <w:pPr>
        <w:pStyle w:val="ListParagraph"/>
        <w:numPr>
          <w:ilvl w:val="1"/>
          <w:numId w:val="2"/>
        </w:numPr>
        <w:tabs>
          <w:tab w:pos="500" w:val="left" w:leader="none"/>
        </w:tabs>
        <w:spacing w:line="216" w:lineRule="auto" w:before="27" w:after="0"/>
        <w:ind w:left="499" w:right="720" w:hanging="180"/>
        <w:jc w:val="left"/>
        <w:rPr>
          <w:sz w:val="16"/>
        </w:rPr>
      </w:pPr>
      <w:r>
        <w:rPr>
          <w:i/>
          <w:spacing w:val="-3"/>
          <w:sz w:val="16"/>
        </w:rPr>
        <w:t>Aumento de peso: </w:t>
      </w:r>
      <w:r>
        <w:rPr>
          <w:spacing w:val="-3"/>
          <w:sz w:val="16"/>
        </w:rPr>
        <w:t>Ganancia </w:t>
      </w:r>
      <w:r>
        <w:rPr>
          <w:sz w:val="16"/>
        </w:rPr>
        <w:t>en el cuerpo se ha observado peso; seguimiento clínico de peso se recomienda (5.5)</w:t>
      </w:r>
    </w:p>
    <w:p>
      <w:pPr>
        <w:pStyle w:val="ListParagraph"/>
        <w:numPr>
          <w:ilvl w:val="0"/>
          <w:numId w:val="2"/>
        </w:numPr>
        <w:tabs>
          <w:tab w:pos="320" w:val="left" w:leader="none"/>
        </w:tabs>
        <w:spacing w:line="216" w:lineRule="auto" w:before="38" w:after="0"/>
        <w:ind w:left="319" w:right="718" w:hanging="180"/>
        <w:jc w:val="left"/>
        <w:rPr>
          <w:sz w:val="16"/>
        </w:rPr>
      </w:pPr>
      <w:r>
        <w:rPr>
          <w:i/>
          <w:w w:val="90"/>
          <w:sz w:val="16"/>
        </w:rPr>
        <w:t>El juego patológico y otras conductas compulsivas: </w:t>
      </w:r>
      <w:r>
        <w:rPr>
          <w:w w:val="90"/>
          <w:sz w:val="16"/>
        </w:rPr>
        <w:t>Considere reducción de la dosis </w:t>
      </w:r>
      <w:r>
        <w:rPr>
          <w:sz w:val="16"/>
        </w:rPr>
        <w:t>o la interrupción (5,6)</w:t>
      </w:r>
    </w:p>
    <w:p>
      <w:pPr>
        <w:pStyle w:val="ListParagraph"/>
        <w:numPr>
          <w:ilvl w:val="0"/>
          <w:numId w:val="2"/>
        </w:numPr>
        <w:tabs>
          <w:tab w:pos="320" w:val="left" w:leader="none"/>
        </w:tabs>
        <w:spacing w:line="216" w:lineRule="auto" w:before="27" w:after="0"/>
        <w:ind w:left="319" w:right="718" w:hanging="180"/>
        <w:jc w:val="left"/>
        <w:rPr>
          <w:sz w:val="16"/>
        </w:rPr>
      </w:pPr>
      <w:r>
        <w:rPr>
          <w:i/>
          <w:w w:val="90"/>
          <w:sz w:val="16"/>
        </w:rPr>
        <w:t>Hipotensión ortostática: </w:t>
      </w:r>
      <w:r>
        <w:rPr>
          <w:w w:val="90"/>
          <w:sz w:val="16"/>
        </w:rPr>
        <w:t>Utilizar con precaución en pacientes con cardiovascular conocida </w:t>
      </w:r>
      <w:r>
        <w:rPr>
          <w:sz w:val="16"/>
        </w:rPr>
        <w:t>o enfermedad cerebrovascular (5,7)</w:t>
      </w:r>
    </w:p>
    <w:p>
      <w:pPr>
        <w:pStyle w:val="ListParagraph"/>
        <w:numPr>
          <w:ilvl w:val="0"/>
          <w:numId w:val="2"/>
        </w:numPr>
        <w:tabs>
          <w:tab w:pos="320" w:val="left" w:leader="none"/>
        </w:tabs>
        <w:spacing w:line="216" w:lineRule="auto" w:before="28" w:after="0"/>
        <w:ind w:left="319" w:right="717" w:hanging="180"/>
        <w:jc w:val="both"/>
        <w:rPr>
          <w:sz w:val="16"/>
        </w:rPr>
      </w:pPr>
      <w:r>
        <w:rPr>
          <w:i/>
          <w:w w:val="90"/>
          <w:sz w:val="16"/>
        </w:rPr>
        <w:t>Leucopenia, neutropenia, agranulocitosis y: </w:t>
      </w:r>
      <w:r>
        <w:rPr>
          <w:w w:val="90"/>
          <w:sz w:val="16"/>
        </w:rPr>
        <w:t>Realizar recuentos de sangre completa en pacientes con una historia de un recuento clínicamente significativa bajo de glóbulos blancos (WBC) / recuento absoluto de neutrófilos (ANC). Considere la interrupción si clínicamente significativa</w:t>
      </w:r>
      <w:r>
        <w:rPr>
          <w:sz w:val="16"/>
        </w:rPr>
        <w:t>disminución de WBC / ANC en ausencia de otros factores causales (5,9)</w:t>
      </w:r>
    </w:p>
    <w:p>
      <w:pPr>
        <w:pStyle w:val="ListParagraph"/>
        <w:numPr>
          <w:ilvl w:val="0"/>
          <w:numId w:val="2"/>
        </w:numPr>
        <w:tabs>
          <w:tab w:pos="320" w:val="left" w:leader="none"/>
        </w:tabs>
        <w:spacing w:line="216" w:lineRule="auto" w:before="26" w:after="0"/>
        <w:ind w:left="319" w:right="720" w:hanging="180"/>
        <w:jc w:val="left"/>
        <w:rPr>
          <w:sz w:val="16"/>
        </w:rPr>
      </w:pPr>
      <w:r>
        <w:rPr>
          <w:i/>
          <w:spacing w:val="-3"/>
          <w:w w:val="95"/>
          <w:sz w:val="16"/>
        </w:rPr>
        <w:t>convulsiones: </w:t>
      </w:r>
      <w:r>
        <w:rPr>
          <w:w w:val="95"/>
          <w:sz w:val="16"/>
        </w:rPr>
        <w:t>Debe usarse con precaución en pacientes con antecedentes de convulsiones o con condiciones que </w:t>
      </w:r>
      <w:r>
        <w:rPr>
          <w:spacing w:val="-3"/>
          <w:sz w:val="16"/>
        </w:rPr>
        <w:t>inferior </w:t>
      </w:r>
      <w:r>
        <w:rPr>
          <w:sz w:val="16"/>
        </w:rPr>
        <w:t>el umbral de convulsiones (5.10)</w:t>
      </w:r>
    </w:p>
    <w:p>
      <w:pPr>
        <w:pStyle w:val="ListParagraph"/>
        <w:numPr>
          <w:ilvl w:val="0"/>
          <w:numId w:val="2"/>
        </w:numPr>
        <w:tabs>
          <w:tab w:pos="320" w:val="left" w:leader="none"/>
        </w:tabs>
        <w:spacing w:line="216" w:lineRule="auto" w:before="28" w:after="0"/>
        <w:ind w:left="319" w:right="718" w:hanging="180"/>
        <w:jc w:val="left"/>
        <w:rPr>
          <w:sz w:val="16"/>
        </w:rPr>
      </w:pPr>
      <w:r>
        <w:rPr>
          <w:i/>
          <w:w w:val="95"/>
          <w:sz w:val="16"/>
        </w:rPr>
        <w:t>Potencial de Deterioro Cognitivo y Motor: </w:t>
      </w:r>
      <w:r>
        <w:rPr>
          <w:w w:val="95"/>
          <w:sz w:val="16"/>
        </w:rPr>
        <w:t>Tenga cuidado cuando utilice </w:t>
      </w:r>
      <w:r>
        <w:rPr>
          <w:sz w:val="16"/>
        </w:rPr>
        <w:t>maquinaria (5.11)</w:t>
      </w:r>
    </w:p>
    <w:p>
      <w:pPr>
        <w:pStyle w:val="Heading3"/>
        <w:spacing w:line="158" w:lineRule="exact"/>
        <w:ind w:left="139"/>
      </w:pPr>
      <w:r>
        <w:rPr/>
        <w:t>------------------------------------REACCIONES ADVERSAS------------ ------------------------</w:t>
      </w:r>
    </w:p>
    <w:p>
      <w:pPr>
        <w:pStyle w:val="BodyText"/>
        <w:spacing w:line="216" w:lineRule="auto" w:before="5"/>
        <w:ind w:left="139" w:right="717"/>
        <w:jc w:val="both"/>
      </w:pPr>
      <w:r>
        <w:rPr>
          <w:w w:val="95"/>
        </w:rPr>
        <w:t>observado más comúnmente reacciones adversas con ABILIFY Mantenim en pacientes con esquizofrenia (incidencia ≥5% y al menos el doble que para el placebo) se incrementaron </w:t>
      </w:r>
      <w:r>
        <w:rPr/>
        <w:t>peso, acatisia, dolor en el sitio de inyección, y la sedación (6,1).</w:t>
      </w:r>
    </w:p>
    <w:p>
      <w:pPr>
        <w:pStyle w:val="Heading3"/>
        <w:spacing w:line="216" w:lineRule="auto" w:before="56"/>
        <w:ind w:left="139" w:right="716"/>
        <w:jc w:val="both"/>
      </w:pPr>
      <w:r>
        <w:rPr>
          <w:w w:val="95"/>
        </w:rPr>
        <w:t>Para reportar sospechas de reacciones adversas en contacto Otsuka America Pharmaceutical, Inc. al 1-800-438-9927 o la FDA al 1-800-FDA-1088 o </w:t>
      </w:r>
      <w:hyperlink r:id="rId5">
        <w:r>
          <w:rPr>
            <w:w w:val="95"/>
          </w:rPr>
          <w:t>www.fda.gov/medwatch.</w:t>
        </w:r>
      </w:hyperlink>
    </w:p>
    <w:p>
      <w:pPr>
        <w:spacing w:line="182" w:lineRule="exact" w:before="41"/>
        <w:ind w:left="139" w:right="0" w:firstLine="0"/>
        <w:jc w:val="left"/>
        <w:rPr>
          <w:b/>
          <w:sz w:val="16"/>
        </w:rPr>
      </w:pPr>
      <w:r>
        <w:rPr>
          <w:b/>
          <w:sz w:val="16"/>
        </w:rPr>
        <w:t>------------------------------------INTERACCIONES CON LA DROGAS------------ ------------------------</w:t>
      </w:r>
    </w:p>
    <w:p>
      <w:pPr>
        <w:pStyle w:val="BodyText"/>
        <w:spacing w:line="216" w:lineRule="auto" w:before="12"/>
        <w:ind w:left="139" w:right="717"/>
        <w:jc w:val="both"/>
      </w:pPr>
      <w:r>
        <w:rPr>
          <w:w w:val="95"/>
        </w:rPr>
        <w:t>Ajustes de dosis para los pacientes que toman inhibidores de CYP2D6, CYP3A4, inhibidores o </w:t>
      </w:r>
      <w:r>
        <w:rPr/>
        <w:t>inductores de CYP3A4 para más de 14 días (2.3):</w:t>
      </w:r>
    </w:p>
    <w:p>
      <w:pPr>
        <w:pStyle w:val="BodyText"/>
        <w:spacing w:before="10"/>
        <w:rPr>
          <w:sz w:val="5"/>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6"/>
        <w:gridCol w:w="1504"/>
      </w:tblGrid>
      <w:tr>
        <w:trPr>
          <w:trHeight w:val="191" w:hRule="atLeast"/>
        </w:trPr>
        <w:tc>
          <w:tcPr>
            <w:tcW w:w="3756" w:type="dxa"/>
          </w:tcPr>
          <w:p>
            <w:pPr>
              <w:pStyle w:val="TableParagraph"/>
              <w:spacing w:line="168" w:lineRule="exact" w:before="3"/>
              <w:ind w:left="108"/>
              <w:rPr>
                <w:b/>
                <w:sz w:val="16"/>
              </w:rPr>
            </w:pPr>
            <w:r>
              <w:rPr>
                <w:b/>
                <w:w w:val="95"/>
                <w:sz w:val="16"/>
              </w:rPr>
              <w:t>factores</w:t>
            </w:r>
          </w:p>
        </w:tc>
        <w:tc>
          <w:tcPr>
            <w:tcW w:w="1504" w:type="dxa"/>
          </w:tcPr>
          <w:p>
            <w:pPr>
              <w:pStyle w:val="TableParagraph"/>
              <w:spacing w:line="168" w:lineRule="exact" w:before="3"/>
              <w:ind w:left="199" w:right="189"/>
              <w:jc w:val="center"/>
              <w:rPr>
                <w:b/>
                <w:sz w:val="16"/>
              </w:rPr>
            </w:pPr>
            <w:r>
              <w:rPr>
                <w:b/>
                <w:w w:val="95"/>
                <w:sz w:val="16"/>
              </w:rPr>
              <w:t>dosis ajustada</w:t>
            </w:r>
          </w:p>
        </w:tc>
      </w:tr>
      <w:tr>
        <w:trPr>
          <w:trHeight w:val="191" w:hRule="atLeast"/>
        </w:trPr>
        <w:tc>
          <w:tcPr>
            <w:tcW w:w="5260" w:type="dxa"/>
            <w:gridSpan w:val="2"/>
          </w:tcPr>
          <w:p>
            <w:pPr>
              <w:pStyle w:val="TableParagraph"/>
              <w:spacing w:line="168" w:lineRule="exact" w:before="3"/>
              <w:ind w:left="108"/>
              <w:rPr>
                <w:b/>
                <w:sz w:val="16"/>
              </w:rPr>
            </w:pPr>
            <w:r>
              <w:rPr>
                <w:b/>
                <w:w w:val="95"/>
                <w:sz w:val="16"/>
              </w:rPr>
              <w:t>Metabolizadores lentos de CYP2D6</w:t>
            </w:r>
          </w:p>
        </w:tc>
      </w:tr>
      <w:tr>
        <w:trPr>
          <w:trHeight w:val="371" w:hRule="atLeast"/>
        </w:trPr>
        <w:tc>
          <w:tcPr>
            <w:tcW w:w="3756" w:type="dxa"/>
          </w:tcPr>
          <w:p>
            <w:pPr>
              <w:pStyle w:val="TableParagraph"/>
              <w:spacing w:line="180" w:lineRule="exact" w:before="9"/>
              <w:ind w:left="108" w:right="616"/>
              <w:rPr>
                <w:sz w:val="16"/>
              </w:rPr>
            </w:pPr>
            <w:r>
              <w:rPr>
                <w:w w:val="90"/>
                <w:sz w:val="16"/>
              </w:rPr>
              <w:t>CYP2D6 deficiente Metabolizadores teniendo concomitante </w:t>
            </w:r>
            <w:r>
              <w:rPr>
                <w:sz w:val="16"/>
              </w:rPr>
              <w:t>inhibidores de CYP3A4</w:t>
            </w:r>
          </w:p>
        </w:tc>
        <w:tc>
          <w:tcPr>
            <w:tcW w:w="1504" w:type="dxa"/>
          </w:tcPr>
          <w:p>
            <w:pPr>
              <w:pStyle w:val="TableParagraph"/>
              <w:spacing w:before="93"/>
              <w:ind w:left="199" w:right="189"/>
              <w:jc w:val="center"/>
              <w:rPr>
                <w:sz w:val="9"/>
              </w:rPr>
            </w:pPr>
            <w:r>
              <w:rPr>
                <w:sz w:val="16"/>
              </w:rPr>
              <w:t>200 mg</w:t>
            </w:r>
            <w:r>
              <w:rPr>
                <w:position w:val="5"/>
                <w:sz w:val="9"/>
              </w:rPr>
              <w:t>1</w:t>
            </w:r>
          </w:p>
        </w:tc>
      </w:tr>
      <w:tr>
        <w:trPr>
          <w:trHeight w:val="214" w:hRule="atLeast"/>
        </w:trPr>
        <w:tc>
          <w:tcPr>
            <w:tcW w:w="5260" w:type="dxa"/>
            <w:gridSpan w:val="2"/>
          </w:tcPr>
          <w:p>
            <w:pPr>
              <w:pStyle w:val="TableParagraph"/>
              <w:spacing w:line="180" w:lineRule="exact" w:before="14"/>
              <w:ind w:left="108"/>
              <w:rPr>
                <w:b/>
                <w:sz w:val="16"/>
              </w:rPr>
            </w:pPr>
            <w:r>
              <w:rPr>
                <w:b/>
                <w:w w:val="95"/>
                <w:sz w:val="16"/>
              </w:rPr>
              <w:t>Los pacientes que toman 400 mg de ABILIFY Mantenim</w:t>
            </w:r>
          </w:p>
        </w:tc>
      </w:tr>
      <w:tr>
        <w:trPr>
          <w:trHeight w:val="213" w:hRule="atLeast"/>
        </w:trPr>
        <w:tc>
          <w:tcPr>
            <w:tcW w:w="3756" w:type="dxa"/>
          </w:tcPr>
          <w:p>
            <w:pPr>
              <w:pStyle w:val="TableParagraph"/>
              <w:spacing w:line="180" w:lineRule="exact" w:before="14"/>
              <w:ind w:left="108"/>
              <w:rPr>
                <w:sz w:val="16"/>
              </w:rPr>
            </w:pPr>
            <w:r>
              <w:rPr>
                <w:w w:val="95"/>
                <w:sz w:val="16"/>
              </w:rPr>
              <w:t>inhibidores de CYP2D6 o CYP3A4 fuertes</w:t>
            </w:r>
          </w:p>
        </w:tc>
        <w:tc>
          <w:tcPr>
            <w:tcW w:w="1504" w:type="dxa"/>
          </w:tcPr>
          <w:p>
            <w:pPr>
              <w:pStyle w:val="TableParagraph"/>
              <w:spacing w:line="180" w:lineRule="exact" w:before="14"/>
              <w:ind w:left="199" w:right="189"/>
              <w:jc w:val="center"/>
              <w:rPr>
                <w:sz w:val="16"/>
              </w:rPr>
            </w:pPr>
            <w:r>
              <w:rPr>
                <w:sz w:val="16"/>
              </w:rPr>
              <w:t>300 mg</w:t>
            </w:r>
          </w:p>
        </w:tc>
      </w:tr>
      <w:tr>
        <w:trPr>
          <w:trHeight w:val="191" w:hRule="atLeast"/>
        </w:trPr>
        <w:tc>
          <w:tcPr>
            <w:tcW w:w="3756" w:type="dxa"/>
          </w:tcPr>
          <w:p>
            <w:pPr>
              <w:pStyle w:val="TableParagraph"/>
              <w:spacing w:line="168" w:lineRule="exact" w:before="3"/>
              <w:ind w:left="108"/>
              <w:rPr>
                <w:sz w:val="16"/>
              </w:rPr>
            </w:pPr>
            <w:r>
              <w:rPr>
                <w:w w:val="95"/>
                <w:sz w:val="16"/>
              </w:rPr>
              <w:t>inhibidores de CYP2D6 y CYP3A4</w:t>
            </w:r>
          </w:p>
        </w:tc>
        <w:tc>
          <w:tcPr>
            <w:tcW w:w="1504" w:type="dxa"/>
          </w:tcPr>
          <w:p>
            <w:pPr>
              <w:pStyle w:val="TableParagraph"/>
              <w:spacing w:line="168" w:lineRule="exact" w:before="3"/>
              <w:ind w:left="199" w:right="189"/>
              <w:jc w:val="center"/>
              <w:rPr>
                <w:sz w:val="9"/>
              </w:rPr>
            </w:pPr>
            <w:r>
              <w:rPr>
                <w:sz w:val="16"/>
              </w:rPr>
              <w:t>200 mg</w:t>
            </w:r>
            <w:r>
              <w:rPr>
                <w:position w:val="5"/>
                <w:sz w:val="9"/>
              </w:rPr>
              <w:t>1</w:t>
            </w:r>
          </w:p>
        </w:tc>
      </w:tr>
      <w:tr>
        <w:trPr>
          <w:trHeight w:val="223" w:hRule="atLeast"/>
        </w:trPr>
        <w:tc>
          <w:tcPr>
            <w:tcW w:w="3756" w:type="dxa"/>
          </w:tcPr>
          <w:p>
            <w:pPr>
              <w:pStyle w:val="TableParagraph"/>
              <w:spacing w:before="19"/>
              <w:ind w:left="108"/>
              <w:rPr>
                <w:sz w:val="16"/>
              </w:rPr>
            </w:pPr>
            <w:r>
              <w:rPr>
                <w:w w:val="95"/>
                <w:sz w:val="16"/>
              </w:rPr>
              <w:t>inductores de CYP3A4</w:t>
            </w:r>
          </w:p>
        </w:tc>
        <w:tc>
          <w:tcPr>
            <w:tcW w:w="1504" w:type="dxa"/>
          </w:tcPr>
          <w:p>
            <w:pPr>
              <w:pStyle w:val="TableParagraph"/>
              <w:spacing w:before="19"/>
              <w:ind w:left="199" w:right="189"/>
              <w:jc w:val="center"/>
              <w:rPr>
                <w:sz w:val="16"/>
              </w:rPr>
            </w:pPr>
            <w:r>
              <w:rPr>
                <w:sz w:val="16"/>
              </w:rPr>
              <w:t>Evitar el uso</w:t>
            </w:r>
          </w:p>
        </w:tc>
      </w:tr>
      <w:tr>
        <w:trPr>
          <w:trHeight w:val="191" w:hRule="atLeast"/>
        </w:trPr>
        <w:tc>
          <w:tcPr>
            <w:tcW w:w="5260" w:type="dxa"/>
            <w:gridSpan w:val="2"/>
          </w:tcPr>
          <w:p>
            <w:pPr>
              <w:pStyle w:val="TableParagraph"/>
              <w:spacing w:line="168" w:lineRule="exact" w:before="3"/>
              <w:ind w:left="108"/>
              <w:rPr>
                <w:b/>
                <w:sz w:val="16"/>
              </w:rPr>
            </w:pPr>
            <w:r>
              <w:rPr>
                <w:b/>
                <w:w w:val="95"/>
                <w:sz w:val="16"/>
              </w:rPr>
              <w:t>Los pacientes que toman 300 mg de ABILIFY Mantenim</w:t>
            </w:r>
          </w:p>
        </w:tc>
      </w:tr>
      <w:tr>
        <w:trPr>
          <w:trHeight w:val="191" w:hRule="atLeast"/>
        </w:trPr>
        <w:tc>
          <w:tcPr>
            <w:tcW w:w="3756" w:type="dxa"/>
          </w:tcPr>
          <w:p>
            <w:pPr>
              <w:pStyle w:val="TableParagraph"/>
              <w:spacing w:line="168" w:lineRule="exact" w:before="3"/>
              <w:ind w:left="108"/>
              <w:rPr>
                <w:sz w:val="16"/>
              </w:rPr>
            </w:pPr>
            <w:r>
              <w:rPr>
                <w:w w:val="95"/>
                <w:sz w:val="16"/>
              </w:rPr>
              <w:t>inhibidores de CYP2D6 o CYP3A4 fuertes</w:t>
            </w:r>
          </w:p>
        </w:tc>
        <w:tc>
          <w:tcPr>
            <w:tcW w:w="1504" w:type="dxa"/>
          </w:tcPr>
          <w:p>
            <w:pPr>
              <w:pStyle w:val="TableParagraph"/>
              <w:spacing w:line="168" w:lineRule="exact" w:before="3"/>
              <w:ind w:left="199" w:right="189"/>
              <w:jc w:val="center"/>
              <w:rPr>
                <w:sz w:val="9"/>
              </w:rPr>
            </w:pPr>
            <w:r>
              <w:rPr>
                <w:sz w:val="16"/>
              </w:rPr>
              <w:t>200 mg</w:t>
            </w:r>
            <w:r>
              <w:rPr>
                <w:position w:val="5"/>
                <w:sz w:val="9"/>
              </w:rPr>
              <w:t>1</w:t>
            </w:r>
          </w:p>
        </w:tc>
      </w:tr>
      <w:tr>
        <w:trPr>
          <w:trHeight w:val="191" w:hRule="atLeast"/>
        </w:trPr>
        <w:tc>
          <w:tcPr>
            <w:tcW w:w="3756" w:type="dxa"/>
          </w:tcPr>
          <w:p>
            <w:pPr>
              <w:pStyle w:val="TableParagraph"/>
              <w:spacing w:line="168" w:lineRule="exact" w:before="3"/>
              <w:ind w:left="108"/>
              <w:rPr>
                <w:sz w:val="16"/>
              </w:rPr>
            </w:pPr>
            <w:r>
              <w:rPr>
                <w:w w:val="95"/>
                <w:sz w:val="16"/>
              </w:rPr>
              <w:t>inhibidores de CYP2D6 y CYP3A4</w:t>
            </w:r>
          </w:p>
        </w:tc>
        <w:tc>
          <w:tcPr>
            <w:tcW w:w="1504" w:type="dxa"/>
          </w:tcPr>
          <w:p>
            <w:pPr>
              <w:pStyle w:val="TableParagraph"/>
              <w:spacing w:line="168" w:lineRule="exact" w:before="3"/>
              <w:ind w:left="199" w:right="189"/>
              <w:jc w:val="center"/>
              <w:rPr>
                <w:sz w:val="9"/>
              </w:rPr>
            </w:pPr>
            <w:r>
              <w:rPr>
                <w:sz w:val="16"/>
              </w:rPr>
              <w:t>160 mg</w:t>
            </w:r>
            <w:r>
              <w:rPr>
                <w:position w:val="5"/>
                <w:sz w:val="9"/>
              </w:rPr>
              <w:t>1</w:t>
            </w:r>
          </w:p>
        </w:tc>
      </w:tr>
      <w:tr>
        <w:trPr>
          <w:trHeight w:val="191" w:hRule="atLeast"/>
        </w:trPr>
        <w:tc>
          <w:tcPr>
            <w:tcW w:w="3756" w:type="dxa"/>
          </w:tcPr>
          <w:p>
            <w:pPr>
              <w:pStyle w:val="TableParagraph"/>
              <w:spacing w:line="168" w:lineRule="exact" w:before="3"/>
              <w:ind w:left="108"/>
              <w:rPr>
                <w:sz w:val="16"/>
              </w:rPr>
            </w:pPr>
            <w:r>
              <w:rPr>
                <w:w w:val="95"/>
                <w:sz w:val="16"/>
              </w:rPr>
              <w:t>inductores de CYP3A4</w:t>
            </w:r>
          </w:p>
        </w:tc>
        <w:tc>
          <w:tcPr>
            <w:tcW w:w="1504" w:type="dxa"/>
          </w:tcPr>
          <w:p>
            <w:pPr>
              <w:pStyle w:val="TableParagraph"/>
              <w:spacing w:line="168" w:lineRule="exact" w:before="3"/>
              <w:ind w:left="199" w:right="189"/>
              <w:jc w:val="center"/>
              <w:rPr>
                <w:sz w:val="16"/>
              </w:rPr>
            </w:pPr>
            <w:r>
              <w:rPr>
                <w:sz w:val="16"/>
              </w:rPr>
              <w:t>Evitar el uso</w:t>
            </w:r>
          </w:p>
        </w:tc>
      </w:tr>
    </w:tbl>
    <w:p>
      <w:pPr>
        <w:pStyle w:val="BodyText"/>
        <w:spacing w:line="216" w:lineRule="auto" w:before="55"/>
        <w:ind w:left="230" w:right="798" w:hanging="90"/>
        <w:jc w:val="both"/>
      </w:pPr>
      <w:r>
        <w:rPr>
          <w:w w:val="95"/>
          <w:position w:val="5"/>
          <w:sz w:val="9"/>
        </w:rPr>
        <w:t>1 </w:t>
      </w:r>
      <w:r>
        <w:rPr>
          <w:w w:val="95"/>
        </w:rPr>
        <w:t>200 mg y 160 mg de ajustes de la dosis se obtienen solamente mediante el uso de la 300-mg o </w:t>
      </w:r>
      <w:r>
        <w:rPr/>
        <w:t>viales de 400 mg de concentración.</w:t>
      </w:r>
    </w:p>
    <w:p>
      <w:pPr>
        <w:pStyle w:val="Heading3"/>
        <w:spacing w:before="74"/>
      </w:pPr>
      <w:r>
        <w:rPr>
          <w:b w:val="0"/>
        </w:rPr>
        <w:t>-</w:t>
      </w:r>
      <w:r>
        <w:rPr/>
        <w:t>--------------------------- Uso en poblaciones específicas ------------------- -------------</w:t>
      </w:r>
    </w:p>
    <w:p>
      <w:pPr>
        <w:pStyle w:val="ListParagraph"/>
        <w:numPr>
          <w:ilvl w:val="0"/>
          <w:numId w:val="2"/>
        </w:numPr>
        <w:tabs>
          <w:tab w:pos="321" w:val="left" w:leader="none"/>
        </w:tabs>
        <w:spacing w:line="216" w:lineRule="auto" w:before="24" w:after="0"/>
        <w:ind w:left="320" w:right="717" w:hanging="180"/>
        <w:jc w:val="left"/>
        <w:rPr>
          <w:sz w:val="16"/>
        </w:rPr>
      </w:pPr>
      <w:r>
        <w:rPr>
          <w:i/>
          <w:w w:val="90"/>
          <w:sz w:val="16"/>
        </w:rPr>
        <w:t>El embarazo: </w:t>
      </w:r>
      <w:r>
        <w:rPr>
          <w:w w:val="90"/>
          <w:sz w:val="16"/>
        </w:rPr>
        <w:t>Puede provocar síntomas extrapiramidales y / o abstinencia en recién nacidos </w:t>
      </w:r>
      <w:r>
        <w:rPr>
          <w:sz w:val="16"/>
        </w:rPr>
        <w:t>con la exposición tercer trimestre (8,1)</w:t>
      </w:r>
    </w:p>
    <w:p>
      <w:pPr>
        <w:pStyle w:val="Heading3"/>
        <w:spacing w:before="128"/>
      </w:pPr>
      <w:r>
        <w:rPr>
          <w:w w:val="95"/>
        </w:rPr>
        <w:t>Ver 17 para INFORMACIÓN DE ORIENTACIÓN paciente y guía de la medicación.</w:t>
      </w:r>
    </w:p>
    <w:p>
      <w:pPr>
        <w:spacing w:before="125"/>
        <w:ind w:left="0" w:right="717" w:firstLine="0"/>
        <w:jc w:val="right"/>
        <w:rPr>
          <w:b/>
          <w:sz w:val="16"/>
        </w:rPr>
      </w:pPr>
      <w:r>
        <w:rPr>
          <w:b/>
          <w:w w:val="85"/>
          <w:sz w:val="16"/>
        </w:rPr>
        <w:t>Revisado: 02/2019</w:t>
      </w:r>
    </w:p>
    <w:p>
      <w:pPr>
        <w:spacing w:after="0"/>
        <w:jc w:val="right"/>
        <w:rPr>
          <w:sz w:val="16"/>
        </w:rPr>
        <w:sectPr>
          <w:type w:val="continuous"/>
          <w:pgSz w:w="12240" w:h="15840"/>
          <w:pgMar w:top="600" w:bottom="280" w:left="580" w:right="0"/>
          <w:cols w:num="2" w:equalWidth="0">
            <w:col w:w="5461" w:space="59"/>
            <w:col w:w="6140"/>
          </w:cols>
        </w:sectPr>
      </w:pPr>
    </w:p>
    <w:p>
      <w:pPr>
        <w:pStyle w:val="BodyText"/>
        <w:spacing w:before="9"/>
        <w:rPr>
          <w:b/>
          <w:sz w:val="14"/>
        </w:rPr>
      </w:pPr>
    </w:p>
    <w:p>
      <w:pPr>
        <w:pStyle w:val="BodyText"/>
        <w:spacing w:line="20" w:lineRule="exact"/>
        <w:ind w:left="130"/>
        <w:rPr>
          <w:sz w:val="2"/>
        </w:rPr>
      </w:pPr>
      <w:r>
        <w:rPr>
          <w:sz w:val="2"/>
        </w:rPr>
        <w:pict>
          <v:group style="width:540pt;height:1pt;mso-position-horizontal-relative:char;mso-position-vertical-relative:line" coordorigin="0,0" coordsize="10800,20">
            <v:line style="position:absolute" from="0,10" to="10800,10" stroked="true" strokeweight="1pt" strokecolor="#000000">
              <v:stroke dashstyle="solid"/>
            </v:line>
          </v:group>
        </w:pict>
      </w:r>
      <w:r>
        <w:rPr>
          <w:sz w:val="2"/>
        </w:rPr>
      </w:r>
    </w:p>
    <w:p>
      <w:pPr>
        <w:spacing w:after="0" w:line="20" w:lineRule="exact"/>
        <w:rPr>
          <w:sz w:val="2"/>
        </w:rPr>
        <w:sectPr>
          <w:type w:val="continuous"/>
          <w:pgSz w:w="12240" w:h="15840"/>
          <w:pgMar w:top="600" w:bottom="280" w:left="580" w:right="0"/>
        </w:sectPr>
      </w:pPr>
    </w:p>
    <w:p>
      <w:pPr>
        <w:spacing w:before="100"/>
        <w:ind w:left="140" w:right="0" w:firstLine="0"/>
        <w:jc w:val="left"/>
        <w:rPr>
          <w:b/>
          <w:sz w:val="16"/>
        </w:rPr>
      </w:pPr>
      <w:r>
        <w:rPr>
          <w:b/>
          <w:w w:val="95"/>
          <w:sz w:val="16"/>
        </w:rPr>
        <w:t>Información completa: CONTENIDO *</w:t>
      </w:r>
    </w:p>
    <w:p>
      <w:pPr>
        <w:pStyle w:val="Heading4"/>
        <w:spacing w:line="213" w:lineRule="auto" w:before="39"/>
        <w:ind w:left="140" w:right="892"/>
      </w:pPr>
      <w:r>
        <w:rPr>
          <w:i/>
          <w:w w:val="85"/>
        </w:rPr>
        <w:t>ADVERTENCIA: aumento de la mortalidad en pacientes ancianos con </w:t>
      </w:r>
      <w:r>
        <w:rPr>
          <w:w w:val="95"/>
        </w:rPr>
        <w:t>PSYCHOSIS DEMENTIA RELACIONADAS</w:t>
      </w:r>
    </w:p>
    <w:p>
      <w:pPr>
        <w:pStyle w:val="ListParagraph"/>
        <w:numPr>
          <w:ilvl w:val="0"/>
          <w:numId w:val="3"/>
        </w:numPr>
        <w:tabs>
          <w:tab w:pos="439" w:val="left" w:leader="none"/>
          <w:tab w:pos="441" w:val="left" w:leader="none"/>
        </w:tabs>
        <w:spacing w:line="176" w:lineRule="exact" w:before="0" w:after="0"/>
        <w:ind w:left="440" w:right="0" w:hanging="300"/>
        <w:jc w:val="left"/>
        <w:rPr>
          <w:b/>
          <w:sz w:val="16"/>
        </w:rPr>
      </w:pPr>
      <w:r>
        <w:rPr>
          <w:b/>
          <w:w w:val="90"/>
          <w:sz w:val="16"/>
        </w:rPr>
        <w:t>INDICACIONES Y USO</w:t>
      </w:r>
    </w:p>
    <w:p>
      <w:pPr>
        <w:pStyle w:val="ListParagraph"/>
        <w:numPr>
          <w:ilvl w:val="0"/>
          <w:numId w:val="3"/>
        </w:numPr>
        <w:tabs>
          <w:tab w:pos="439" w:val="left" w:leader="none"/>
          <w:tab w:pos="441" w:val="left" w:leader="none"/>
        </w:tabs>
        <w:spacing w:line="171" w:lineRule="exact" w:before="0" w:after="0"/>
        <w:ind w:left="440" w:right="0" w:hanging="300"/>
        <w:jc w:val="left"/>
        <w:rPr>
          <w:b/>
          <w:sz w:val="16"/>
        </w:rPr>
      </w:pPr>
      <w:r>
        <w:rPr>
          <w:b/>
          <w:w w:val="90"/>
          <w:sz w:val="16"/>
        </w:rPr>
        <w:t>DOSIFICACIÓN Y ADMINISTRACIÓN</w:t>
      </w:r>
    </w:p>
    <w:p>
      <w:pPr>
        <w:pStyle w:val="ListParagraph"/>
        <w:numPr>
          <w:ilvl w:val="1"/>
          <w:numId w:val="3"/>
        </w:numPr>
        <w:tabs>
          <w:tab w:pos="879" w:val="left" w:leader="none"/>
          <w:tab w:pos="881" w:val="left" w:leader="none"/>
        </w:tabs>
        <w:spacing w:line="223" w:lineRule="auto" w:before="5" w:after="0"/>
        <w:ind w:left="880" w:right="38" w:hanging="440"/>
        <w:jc w:val="left"/>
        <w:rPr>
          <w:sz w:val="16"/>
        </w:rPr>
      </w:pPr>
      <w:r>
        <w:rPr>
          <w:w w:val="90"/>
          <w:sz w:val="16"/>
        </w:rPr>
        <w:t>Dosis general para el tratamiento de la esquizofrenia y mantenimiento </w:t>
      </w:r>
      <w:r>
        <w:rPr>
          <w:sz w:val="16"/>
        </w:rPr>
        <w:t>Monoterapia del trastorno bipolar I</w:t>
      </w:r>
    </w:p>
    <w:p>
      <w:pPr>
        <w:pStyle w:val="ListParagraph"/>
        <w:numPr>
          <w:ilvl w:val="1"/>
          <w:numId w:val="3"/>
        </w:numPr>
        <w:tabs>
          <w:tab w:pos="879" w:val="left" w:leader="none"/>
          <w:tab w:pos="881" w:val="left" w:leader="none"/>
        </w:tabs>
        <w:spacing w:line="167" w:lineRule="exact" w:before="0" w:after="0"/>
        <w:ind w:left="880" w:right="0" w:hanging="440"/>
        <w:jc w:val="left"/>
        <w:rPr>
          <w:sz w:val="16"/>
        </w:rPr>
      </w:pPr>
      <w:r>
        <w:rPr>
          <w:sz w:val="16"/>
        </w:rPr>
        <w:t>Los ajustes de dosificación para dosis perdidas</w:t>
      </w:r>
    </w:p>
    <w:p>
      <w:pPr>
        <w:pStyle w:val="ListParagraph"/>
        <w:numPr>
          <w:ilvl w:val="1"/>
          <w:numId w:val="3"/>
        </w:numPr>
        <w:tabs>
          <w:tab w:pos="879" w:val="left" w:leader="none"/>
          <w:tab w:pos="881" w:val="left" w:leader="none"/>
        </w:tabs>
        <w:spacing w:line="171" w:lineRule="exact" w:before="0" w:after="0"/>
        <w:ind w:left="880" w:right="0" w:hanging="440"/>
        <w:jc w:val="left"/>
        <w:rPr>
          <w:sz w:val="16"/>
        </w:rPr>
      </w:pPr>
      <w:r>
        <w:rPr>
          <w:sz w:val="16"/>
        </w:rPr>
        <w:t>Ajustes de la dosificación para las consideraciones del citocromo P450</w:t>
      </w:r>
    </w:p>
    <w:p>
      <w:pPr>
        <w:pStyle w:val="ListParagraph"/>
        <w:numPr>
          <w:ilvl w:val="1"/>
          <w:numId w:val="3"/>
        </w:numPr>
        <w:tabs>
          <w:tab w:pos="879" w:val="left" w:leader="none"/>
          <w:tab w:pos="881" w:val="left" w:leader="none"/>
        </w:tabs>
        <w:spacing w:line="171" w:lineRule="exact" w:before="0" w:after="0"/>
        <w:ind w:left="880" w:right="0" w:hanging="440"/>
        <w:jc w:val="left"/>
        <w:rPr>
          <w:sz w:val="16"/>
        </w:rPr>
      </w:pPr>
      <w:r>
        <w:rPr>
          <w:sz w:val="16"/>
        </w:rPr>
        <w:t>Aripiprazol diferentes formulaciones y kits</w:t>
      </w:r>
    </w:p>
    <w:p>
      <w:pPr>
        <w:pStyle w:val="ListParagraph"/>
        <w:numPr>
          <w:ilvl w:val="1"/>
          <w:numId w:val="3"/>
        </w:numPr>
        <w:tabs>
          <w:tab w:pos="879" w:val="left" w:leader="none"/>
          <w:tab w:pos="880" w:val="left" w:leader="none"/>
        </w:tabs>
        <w:spacing w:line="149" w:lineRule="exact" w:before="0" w:after="0"/>
        <w:ind w:left="879" w:right="0" w:hanging="440"/>
        <w:jc w:val="left"/>
        <w:rPr>
          <w:sz w:val="16"/>
        </w:rPr>
      </w:pPr>
      <w:r>
        <w:rPr>
          <w:w w:val="95"/>
          <w:sz w:val="16"/>
        </w:rPr>
        <w:t>Precargada de doble cámara de la jeringa: Preparación y Administración</w:t>
      </w:r>
    </w:p>
    <w:p>
      <w:pPr>
        <w:pStyle w:val="BodyText"/>
        <w:spacing w:before="3"/>
        <w:rPr>
          <w:sz w:val="26"/>
        </w:rPr>
      </w:pPr>
      <w:r>
        <w:rPr/>
        <w:br w:type="column"/>
      </w:r>
      <w:r>
        <w:rPr>
          <w:sz w:val="26"/>
        </w:rPr>
      </w:r>
    </w:p>
    <w:p>
      <w:pPr>
        <w:pStyle w:val="ListParagraph"/>
        <w:numPr>
          <w:ilvl w:val="1"/>
          <w:numId w:val="4"/>
        </w:numPr>
        <w:tabs>
          <w:tab w:pos="879" w:val="left" w:leader="none"/>
          <w:tab w:pos="881" w:val="left" w:leader="none"/>
        </w:tabs>
        <w:spacing w:line="181" w:lineRule="exact" w:before="0" w:after="0"/>
        <w:ind w:left="880" w:right="0" w:hanging="440"/>
        <w:jc w:val="left"/>
        <w:rPr>
          <w:sz w:val="16"/>
        </w:rPr>
      </w:pPr>
      <w:r>
        <w:rPr>
          <w:sz w:val="16"/>
        </w:rPr>
        <w:t>Leucopenia, neutropenia, agranulocitosis y</w:t>
      </w:r>
    </w:p>
    <w:p>
      <w:pPr>
        <w:pStyle w:val="ListParagraph"/>
        <w:numPr>
          <w:ilvl w:val="1"/>
          <w:numId w:val="4"/>
        </w:numPr>
        <w:tabs>
          <w:tab w:pos="881" w:val="left" w:leader="none"/>
        </w:tabs>
        <w:spacing w:line="177" w:lineRule="exact" w:before="0" w:after="0"/>
        <w:ind w:left="880" w:right="0" w:hanging="440"/>
        <w:jc w:val="left"/>
        <w:rPr>
          <w:sz w:val="16"/>
        </w:rPr>
      </w:pPr>
      <w:r>
        <w:rPr>
          <w:w w:val="95"/>
          <w:sz w:val="16"/>
        </w:rPr>
        <w:t>convulsiones</w:t>
      </w:r>
    </w:p>
    <w:p>
      <w:pPr>
        <w:pStyle w:val="ListParagraph"/>
        <w:numPr>
          <w:ilvl w:val="1"/>
          <w:numId w:val="4"/>
        </w:numPr>
        <w:tabs>
          <w:tab w:pos="881" w:val="left" w:leader="none"/>
        </w:tabs>
        <w:spacing w:line="177" w:lineRule="exact" w:before="0" w:after="0"/>
        <w:ind w:left="880" w:right="0" w:hanging="440"/>
        <w:jc w:val="left"/>
        <w:rPr>
          <w:sz w:val="16"/>
        </w:rPr>
      </w:pPr>
      <w:r>
        <w:rPr>
          <w:sz w:val="16"/>
        </w:rPr>
        <w:t>Potencial para cognitiva y deterioro motor</w:t>
      </w:r>
    </w:p>
    <w:p>
      <w:pPr>
        <w:pStyle w:val="ListParagraph"/>
        <w:numPr>
          <w:ilvl w:val="1"/>
          <w:numId w:val="4"/>
        </w:numPr>
        <w:tabs>
          <w:tab w:pos="881" w:val="left" w:leader="none"/>
        </w:tabs>
        <w:spacing w:line="177" w:lineRule="exact" w:before="0" w:after="0"/>
        <w:ind w:left="880" w:right="0" w:hanging="440"/>
        <w:jc w:val="left"/>
        <w:rPr>
          <w:sz w:val="16"/>
        </w:rPr>
      </w:pPr>
      <w:r>
        <w:rPr>
          <w:sz w:val="16"/>
        </w:rPr>
        <w:t>Cuerpo Regulación de la Temperatura</w:t>
      </w:r>
    </w:p>
    <w:p>
      <w:pPr>
        <w:pStyle w:val="ListParagraph"/>
        <w:numPr>
          <w:ilvl w:val="1"/>
          <w:numId w:val="4"/>
        </w:numPr>
        <w:tabs>
          <w:tab w:pos="881" w:val="left" w:leader="none"/>
        </w:tabs>
        <w:spacing w:line="177" w:lineRule="exact" w:before="0" w:after="0"/>
        <w:ind w:left="880" w:right="0" w:hanging="440"/>
        <w:jc w:val="left"/>
        <w:rPr>
          <w:sz w:val="16"/>
        </w:rPr>
      </w:pPr>
      <w:r>
        <w:rPr>
          <w:w w:val="95"/>
          <w:sz w:val="16"/>
        </w:rPr>
        <w:t>La disfagia</w:t>
      </w:r>
    </w:p>
    <w:p>
      <w:pPr>
        <w:pStyle w:val="Heading3"/>
        <w:numPr>
          <w:ilvl w:val="0"/>
          <w:numId w:val="4"/>
        </w:numPr>
        <w:tabs>
          <w:tab w:pos="439" w:val="left" w:leader="none"/>
          <w:tab w:pos="441" w:val="left" w:leader="none"/>
        </w:tabs>
        <w:spacing w:line="177" w:lineRule="exact" w:before="0" w:after="0"/>
        <w:ind w:left="440" w:right="0" w:hanging="300"/>
        <w:jc w:val="left"/>
      </w:pPr>
      <w:r>
        <w:rPr>
          <w:w w:val="90"/>
        </w:rPr>
        <w:t>REACCIONES ADVERSAS</w:t>
      </w:r>
    </w:p>
    <w:p>
      <w:pPr>
        <w:pStyle w:val="ListParagraph"/>
        <w:numPr>
          <w:ilvl w:val="1"/>
          <w:numId w:val="5"/>
        </w:numPr>
        <w:tabs>
          <w:tab w:pos="879" w:val="left" w:leader="none"/>
          <w:tab w:pos="881" w:val="left" w:leader="none"/>
        </w:tabs>
        <w:spacing w:line="177" w:lineRule="exact" w:before="0" w:after="0"/>
        <w:ind w:left="880" w:right="0" w:hanging="440"/>
        <w:jc w:val="left"/>
        <w:rPr>
          <w:sz w:val="16"/>
        </w:rPr>
      </w:pPr>
      <w:r>
        <w:rPr>
          <w:sz w:val="16"/>
        </w:rPr>
        <w:t>Experiencia en ensayos clínicos</w:t>
      </w:r>
    </w:p>
    <w:p>
      <w:pPr>
        <w:pStyle w:val="ListParagraph"/>
        <w:numPr>
          <w:ilvl w:val="1"/>
          <w:numId w:val="5"/>
        </w:numPr>
        <w:tabs>
          <w:tab w:pos="879" w:val="left" w:leader="none"/>
          <w:tab w:pos="881" w:val="left" w:leader="none"/>
        </w:tabs>
        <w:spacing w:line="177" w:lineRule="exact" w:before="0" w:after="0"/>
        <w:ind w:left="880" w:right="0" w:hanging="440"/>
        <w:jc w:val="left"/>
        <w:rPr>
          <w:sz w:val="16"/>
        </w:rPr>
      </w:pPr>
      <w:r>
        <w:rPr>
          <w:w w:val="95"/>
          <w:sz w:val="16"/>
        </w:rPr>
        <w:t>Experiencia post-comercialización</w:t>
      </w:r>
    </w:p>
    <w:p>
      <w:pPr>
        <w:pStyle w:val="Heading3"/>
        <w:numPr>
          <w:ilvl w:val="0"/>
          <w:numId w:val="5"/>
        </w:numPr>
        <w:tabs>
          <w:tab w:pos="439" w:val="left" w:leader="none"/>
          <w:tab w:pos="441" w:val="left" w:leader="none"/>
        </w:tabs>
        <w:spacing w:line="177" w:lineRule="exact" w:before="0" w:after="0"/>
        <w:ind w:left="440" w:right="0" w:hanging="300"/>
        <w:jc w:val="left"/>
      </w:pPr>
      <w:r>
        <w:rPr>
          <w:w w:val="95"/>
        </w:rPr>
        <w:t>INTERACCIONES CON LA DROGAS</w:t>
      </w:r>
    </w:p>
    <w:p>
      <w:pPr>
        <w:pStyle w:val="ListParagraph"/>
        <w:numPr>
          <w:ilvl w:val="1"/>
          <w:numId w:val="5"/>
        </w:numPr>
        <w:tabs>
          <w:tab w:pos="879" w:val="left" w:leader="none"/>
          <w:tab w:pos="881" w:val="left" w:leader="none"/>
        </w:tabs>
        <w:spacing w:line="104" w:lineRule="exact" w:before="0" w:after="0"/>
        <w:ind w:left="880" w:right="0" w:hanging="440"/>
        <w:jc w:val="left"/>
        <w:rPr>
          <w:sz w:val="16"/>
        </w:rPr>
      </w:pPr>
      <w:r>
        <w:rPr>
          <w:sz w:val="16"/>
        </w:rPr>
        <w:t>Fármacos que tienen interacciones clínicamente importantes con ABILIFY Mantenim</w:t>
      </w:r>
    </w:p>
    <w:p>
      <w:pPr>
        <w:spacing w:after="0" w:line="104" w:lineRule="exact"/>
        <w:jc w:val="left"/>
        <w:rPr>
          <w:sz w:val="16"/>
        </w:rPr>
        <w:sectPr>
          <w:type w:val="continuous"/>
          <w:pgSz w:w="12240" w:h="15840"/>
          <w:pgMar w:top="600" w:bottom="280" w:left="580" w:right="0"/>
          <w:cols w:num="2" w:equalWidth="0">
            <w:col w:w="5231" w:space="289"/>
            <w:col w:w="6140"/>
          </w:cols>
        </w:sectPr>
      </w:pPr>
    </w:p>
    <w:p>
      <w:pPr>
        <w:pStyle w:val="BodyText"/>
        <w:spacing w:line="178" w:lineRule="exact" w:before="179"/>
        <w:ind w:left="439"/>
      </w:pPr>
      <w:r>
        <w:rPr/>
        <w:t>2.6</w:t>
      </w:r>
    </w:p>
    <w:p>
      <w:pPr>
        <w:pStyle w:val="Heading3"/>
        <w:spacing w:line="15" w:lineRule="exact"/>
        <w:ind w:left="139"/>
      </w:pPr>
      <w:r>
        <w:rPr>
          <w:w w:val="89"/>
        </w:rPr>
        <w:t>3</w:t>
      </w:r>
    </w:p>
    <w:p>
      <w:pPr>
        <w:pStyle w:val="BodyText"/>
        <w:spacing w:line="178" w:lineRule="exact" w:before="8"/>
        <w:ind w:left="139"/>
      </w:pPr>
      <w:r>
        <w:rPr/>
        <w:br w:type="column"/>
      </w:r>
      <w:r>
        <w:rPr/>
        <w:t>Instrucciones</w:t>
      </w:r>
    </w:p>
    <w:p>
      <w:pPr>
        <w:pStyle w:val="BodyText"/>
        <w:spacing w:line="156" w:lineRule="exact"/>
        <w:ind w:left="139"/>
      </w:pPr>
      <w:r>
        <w:rPr>
          <w:w w:val="90"/>
        </w:rPr>
        <w:t>Vial: preparación y administración Instrucciones</w:t>
      </w:r>
    </w:p>
    <w:p>
      <w:pPr>
        <w:pStyle w:val="ListParagraph"/>
        <w:numPr>
          <w:ilvl w:val="1"/>
          <w:numId w:val="5"/>
        </w:numPr>
        <w:tabs>
          <w:tab w:pos="579" w:val="left" w:leader="none"/>
          <w:tab w:pos="580" w:val="left" w:leader="none"/>
        </w:tabs>
        <w:spacing w:line="170" w:lineRule="exact" w:before="84" w:after="0"/>
        <w:ind w:left="579" w:right="1827" w:hanging="440"/>
        <w:jc w:val="left"/>
        <w:rPr>
          <w:sz w:val="16"/>
        </w:rPr>
      </w:pPr>
      <w:r>
        <w:rPr>
          <w:w w:val="89"/>
          <w:sz w:val="16"/>
        </w:rPr>
        <w:br w:type="column"/>
      </w:r>
      <w:r>
        <w:rPr>
          <w:w w:val="90"/>
          <w:sz w:val="16"/>
        </w:rPr>
        <w:t>Fármacos que tienen interacciones clínicamente importantes con </w:t>
      </w:r>
      <w:r>
        <w:rPr>
          <w:sz w:val="16"/>
        </w:rPr>
        <w:t>ABILIFY Mantenim</w:t>
      </w:r>
    </w:p>
    <w:p>
      <w:pPr>
        <w:spacing w:after="0" w:line="170" w:lineRule="exact"/>
        <w:jc w:val="left"/>
        <w:rPr>
          <w:sz w:val="16"/>
        </w:rPr>
        <w:sectPr>
          <w:type w:val="continuous"/>
          <w:pgSz w:w="12240" w:h="15840"/>
          <w:pgMar w:top="600" w:bottom="280" w:left="580" w:right="0"/>
          <w:cols w:num="3" w:equalWidth="0">
            <w:col w:w="680" w:space="60"/>
            <w:col w:w="3251" w:space="1829"/>
            <w:col w:w="5840"/>
          </w:cols>
        </w:sectPr>
      </w:pPr>
    </w:p>
    <w:p>
      <w:pPr>
        <w:pStyle w:val="Heading3"/>
        <w:spacing w:line="104" w:lineRule="exact"/>
        <w:ind w:left="439"/>
      </w:pPr>
      <w:r>
        <w:rPr>
          <w:w w:val="90"/>
        </w:rPr>
        <w:t>FORMAS FARMACÉUTICAS Y CONCENTRACIONES</w:t>
      </w:r>
    </w:p>
    <w:p>
      <w:pPr>
        <w:pStyle w:val="ListParagraph"/>
        <w:numPr>
          <w:ilvl w:val="0"/>
          <w:numId w:val="6"/>
        </w:numPr>
        <w:tabs>
          <w:tab w:pos="439" w:val="left" w:leader="none"/>
          <w:tab w:pos="440" w:val="left" w:leader="none"/>
        </w:tabs>
        <w:spacing w:line="171" w:lineRule="exact" w:before="0" w:after="0"/>
        <w:ind w:left="439" w:right="0" w:hanging="300"/>
        <w:jc w:val="left"/>
        <w:rPr>
          <w:b/>
          <w:sz w:val="16"/>
        </w:rPr>
      </w:pPr>
      <w:r>
        <w:rPr>
          <w:b/>
          <w:w w:val="95"/>
          <w:sz w:val="16"/>
        </w:rPr>
        <w:t>Contraindicaciones</w:t>
      </w:r>
    </w:p>
    <w:p>
      <w:pPr>
        <w:pStyle w:val="ListParagraph"/>
        <w:numPr>
          <w:ilvl w:val="0"/>
          <w:numId w:val="6"/>
        </w:numPr>
        <w:tabs>
          <w:tab w:pos="439" w:val="left" w:leader="none"/>
          <w:tab w:pos="440" w:val="left" w:leader="none"/>
        </w:tabs>
        <w:spacing w:line="171" w:lineRule="exact" w:before="0" w:after="0"/>
        <w:ind w:left="439" w:right="0" w:hanging="300"/>
        <w:jc w:val="left"/>
        <w:rPr>
          <w:b/>
          <w:sz w:val="16"/>
        </w:rPr>
      </w:pPr>
      <w:r>
        <w:rPr>
          <w:b/>
          <w:w w:val="95"/>
          <w:sz w:val="16"/>
        </w:rPr>
        <w:t>ADVERTENCIAS Y PRECAUCIONES</w:t>
      </w:r>
    </w:p>
    <w:p>
      <w:pPr>
        <w:pStyle w:val="ListParagraph"/>
        <w:numPr>
          <w:ilvl w:val="1"/>
          <w:numId w:val="6"/>
        </w:numPr>
        <w:tabs>
          <w:tab w:pos="879" w:val="left" w:leader="none"/>
          <w:tab w:pos="881" w:val="left" w:leader="none"/>
        </w:tabs>
        <w:spacing w:line="171" w:lineRule="exact" w:before="0" w:after="0"/>
        <w:ind w:left="880" w:right="0" w:hanging="441"/>
        <w:jc w:val="left"/>
        <w:rPr>
          <w:sz w:val="16"/>
        </w:rPr>
      </w:pPr>
      <w:r>
        <w:rPr>
          <w:w w:val="90"/>
          <w:sz w:val="16"/>
        </w:rPr>
        <w:t>El aumento de la mortalidad en pacientes ancianos con psicosis relacionada con demencia</w:t>
      </w:r>
    </w:p>
    <w:p>
      <w:pPr>
        <w:pStyle w:val="ListParagraph"/>
        <w:numPr>
          <w:ilvl w:val="1"/>
          <w:numId w:val="6"/>
        </w:numPr>
        <w:tabs>
          <w:tab w:pos="879" w:val="left" w:leader="none"/>
          <w:tab w:pos="881" w:val="left" w:leader="none"/>
        </w:tabs>
        <w:spacing w:line="149" w:lineRule="exact" w:before="0" w:after="0"/>
        <w:ind w:left="880" w:right="0" w:hanging="440"/>
        <w:jc w:val="left"/>
        <w:rPr>
          <w:sz w:val="16"/>
        </w:rPr>
      </w:pPr>
      <w:r>
        <w:rPr>
          <w:w w:val="90"/>
          <w:sz w:val="16"/>
        </w:rPr>
        <w:t>Las reacciones adversas cerebrovasculares, incluido el accidente cerebrovascular en pacientes ancianos</w:t>
      </w:r>
    </w:p>
    <w:p>
      <w:pPr>
        <w:pStyle w:val="Heading3"/>
        <w:numPr>
          <w:ilvl w:val="0"/>
          <w:numId w:val="7"/>
        </w:numPr>
        <w:tabs>
          <w:tab w:pos="439" w:val="left" w:leader="none"/>
          <w:tab w:pos="440" w:val="left" w:leader="none"/>
        </w:tabs>
        <w:spacing w:line="174" w:lineRule="exact" w:before="0" w:after="0"/>
        <w:ind w:left="439" w:right="0" w:hanging="300"/>
        <w:jc w:val="left"/>
      </w:pPr>
      <w:r>
        <w:rPr>
          <w:w w:val="81"/>
        </w:rPr>
        <w:br w:type="column"/>
      </w:r>
      <w:r>
        <w:rPr>
          <w:w w:val="95"/>
        </w:rPr>
        <w:t>USO EN POBLACIONES ESPECÍFICAS</w:t>
      </w:r>
    </w:p>
    <w:p>
      <w:pPr>
        <w:pStyle w:val="ListParagraph"/>
        <w:numPr>
          <w:ilvl w:val="1"/>
          <w:numId w:val="7"/>
        </w:numPr>
        <w:tabs>
          <w:tab w:pos="879" w:val="left" w:leader="none"/>
          <w:tab w:pos="880" w:val="left" w:leader="none"/>
        </w:tabs>
        <w:spacing w:line="177" w:lineRule="exact" w:before="0" w:after="0"/>
        <w:ind w:left="879" w:right="0" w:hanging="440"/>
        <w:jc w:val="left"/>
        <w:rPr>
          <w:sz w:val="16"/>
        </w:rPr>
      </w:pPr>
      <w:r>
        <w:rPr>
          <w:w w:val="95"/>
          <w:sz w:val="16"/>
        </w:rPr>
        <w:t>El embarazo</w:t>
      </w:r>
    </w:p>
    <w:p>
      <w:pPr>
        <w:pStyle w:val="ListParagraph"/>
        <w:numPr>
          <w:ilvl w:val="1"/>
          <w:numId w:val="7"/>
        </w:numPr>
        <w:tabs>
          <w:tab w:pos="879" w:val="left" w:leader="none"/>
          <w:tab w:pos="880" w:val="left" w:leader="none"/>
        </w:tabs>
        <w:spacing w:line="177" w:lineRule="exact" w:before="0" w:after="0"/>
        <w:ind w:left="879" w:right="0" w:hanging="440"/>
        <w:jc w:val="left"/>
        <w:rPr>
          <w:sz w:val="16"/>
        </w:rPr>
      </w:pPr>
      <w:r>
        <w:rPr>
          <w:sz w:val="16"/>
        </w:rPr>
        <w:t>Lactancia</w:t>
      </w:r>
    </w:p>
    <w:p>
      <w:pPr>
        <w:pStyle w:val="ListParagraph"/>
        <w:numPr>
          <w:ilvl w:val="1"/>
          <w:numId w:val="8"/>
        </w:numPr>
        <w:tabs>
          <w:tab w:pos="879" w:val="left" w:leader="none"/>
          <w:tab w:pos="880" w:val="left" w:leader="none"/>
        </w:tabs>
        <w:spacing w:line="177" w:lineRule="exact" w:before="0" w:after="0"/>
        <w:ind w:left="879" w:right="0" w:hanging="440"/>
        <w:jc w:val="left"/>
        <w:rPr>
          <w:sz w:val="16"/>
        </w:rPr>
      </w:pPr>
      <w:r>
        <w:rPr>
          <w:w w:val="90"/>
          <w:sz w:val="16"/>
        </w:rPr>
        <w:t>uso pediátrico</w:t>
      </w:r>
    </w:p>
    <w:p>
      <w:pPr>
        <w:pStyle w:val="ListParagraph"/>
        <w:numPr>
          <w:ilvl w:val="1"/>
          <w:numId w:val="8"/>
        </w:numPr>
        <w:tabs>
          <w:tab w:pos="879" w:val="left" w:leader="none"/>
          <w:tab w:pos="880" w:val="left" w:leader="none"/>
        </w:tabs>
        <w:spacing w:line="62" w:lineRule="exact" w:before="0" w:after="0"/>
        <w:ind w:left="879" w:right="0" w:hanging="440"/>
        <w:jc w:val="left"/>
        <w:rPr>
          <w:sz w:val="16"/>
        </w:rPr>
      </w:pPr>
      <w:r>
        <w:rPr>
          <w:w w:val="85"/>
          <w:sz w:val="16"/>
        </w:rPr>
        <w:t>uso geriátrico</w:t>
      </w:r>
    </w:p>
    <w:p>
      <w:pPr>
        <w:spacing w:after="0" w:line="62" w:lineRule="exact"/>
        <w:jc w:val="left"/>
        <w:rPr>
          <w:sz w:val="16"/>
        </w:rPr>
        <w:sectPr>
          <w:type w:val="continuous"/>
          <w:pgSz w:w="12240" w:h="15840"/>
          <w:pgMar w:top="600" w:bottom="280" w:left="580" w:right="0"/>
          <w:cols w:num="2" w:equalWidth="0">
            <w:col w:w="5448" w:space="72"/>
            <w:col w:w="6140"/>
          </w:cols>
        </w:sectPr>
      </w:pPr>
    </w:p>
    <w:p>
      <w:pPr>
        <w:pStyle w:val="BodyText"/>
        <w:spacing w:line="178" w:lineRule="exact" w:before="179"/>
        <w:jc w:val="right"/>
      </w:pPr>
      <w:r>
        <w:rPr>
          <w:w w:val="85"/>
        </w:rPr>
        <w:t>5.3</w:t>
      </w:r>
    </w:p>
    <w:p>
      <w:pPr>
        <w:pStyle w:val="BodyText"/>
        <w:spacing w:line="171" w:lineRule="exact"/>
        <w:jc w:val="right"/>
      </w:pPr>
      <w:r>
        <w:rPr>
          <w:w w:val="85"/>
        </w:rPr>
        <w:t>5.4</w:t>
      </w:r>
    </w:p>
    <w:p>
      <w:pPr>
        <w:pStyle w:val="BodyText"/>
        <w:spacing w:line="171" w:lineRule="exact"/>
        <w:jc w:val="right"/>
      </w:pPr>
      <w:r>
        <w:rPr>
          <w:w w:val="85"/>
        </w:rPr>
        <w:t>5.5</w:t>
      </w:r>
    </w:p>
    <w:p>
      <w:pPr>
        <w:pStyle w:val="BodyText"/>
        <w:spacing w:line="171" w:lineRule="exact"/>
        <w:jc w:val="right"/>
      </w:pPr>
      <w:r>
        <w:rPr>
          <w:w w:val="85"/>
        </w:rPr>
        <w:t>5.6</w:t>
      </w:r>
    </w:p>
    <w:p>
      <w:pPr>
        <w:pStyle w:val="BodyText"/>
        <w:spacing w:line="118" w:lineRule="exact"/>
        <w:jc w:val="right"/>
      </w:pPr>
      <w:r>
        <w:rPr>
          <w:w w:val="85"/>
        </w:rPr>
        <w:t>5.7</w:t>
      </w:r>
    </w:p>
    <w:p>
      <w:pPr>
        <w:pStyle w:val="BodyText"/>
        <w:spacing w:line="223" w:lineRule="auto" w:before="19"/>
        <w:ind w:left="199" w:right="1446"/>
        <w:jc w:val="both"/>
      </w:pPr>
      <w:r>
        <w:rPr/>
        <w:br w:type="column"/>
      </w:r>
      <w:r>
        <w:rPr>
          <w:w w:val="90"/>
        </w:rPr>
        <w:t>La demencia con psicosis relacionada síndrome neuroléptico maligno </w:t>
      </w:r>
      <w:r>
        <w:rPr/>
        <w:t>La discinesia tardía</w:t>
      </w:r>
    </w:p>
    <w:p>
      <w:pPr>
        <w:pStyle w:val="BodyText"/>
        <w:spacing w:line="167" w:lineRule="exact"/>
        <w:ind w:left="199"/>
      </w:pPr>
      <w:r>
        <w:rPr>
          <w:w w:val="85"/>
        </w:rPr>
        <w:t>Los cambios metabólicos</w:t>
      </w:r>
    </w:p>
    <w:p>
      <w:pPr>
        <w:pStyle w:val="BodyText"/>
        <w:spacing w:line="223" w:lineRule="auto" w:before="4"/>
        <w:ind w:left="199" w:right="30"/>
      </w:pPr>
      <w:r>
        <w:rPr>
          <w:w w:val="90"/>
        </w:rPr>
        <w:t>El juego patológico y otras conductas compulsivas </w:t>
      </w:r>
      <w:r>
        <w:rPr/>
        <w:t>Hipotensión ortostática</w:t>
      </w:r>
    </w:p>
    <w:p>
      <w:pPr>
        <w:pStyle w:val="ListParagraph"/>
        <w:numPr>
          <w:ilvl w:val="1"/>
          <w:numId w:val="8"/>
        </w:numPr>
        <w:tabs>
          <w:tab w:pos="1179" w:val="left" w:leader="none"/>
          <w:tab w:pos="1181" w:val="left" w:leader="none"/>
        </w:tabs>
        <w:spacing w:line="181" w:lineRule="exact" w:before="111" w:after="0"/>
        <w:ind w:left="1180" w:right="0" w:hanging="440"/>
        <w:jc w:val="left"/>
        <w:rPr>
          <w:sz w:val="16"/>
        </w:rPr>
      </w:pPr>
      <w:r>
        <w:rPr>
          <w:w w:val="84"/>
          <w:sz w:val="16"/>
        </w:rPr>
        <w:br w:type="column"/>
      </w:r>
      <w:r>
        <w:rPr>
          <w:w w:val="95"/>
          <w:sz w:val="16"/>
        </w:rPr>
        <w:t>Metabolizadores lentos de CYP2D6</w:t>
      </w:r>
    </w:p>
    <w:p>
      <w:pPr>
        <w:pStyle w:val="ListParagraph"/>
        <w:numPr>
          <w:ilvl w:val="1"/>
          <w:numId w:val="8"/>
        </w:numPr>
        <w:tabs>
          <w:tab w:pos="1179" w:val="left" w:leader="none"/>
          <w:tab w:pos="1181" w:val="left" w:leader="none"/>
        </w:tabs>
        <w:spacing w:line="177" w:lineRule="exact" w:before="0" w:after="0"/>
        <w:ind w:left="1180" w:right="0" w:hanging="440"/>
        <w:jc w:val="left"/>
        <w:rPr>
          <w:sz w:val="16"/>
        </w:rPr>
      </w:pPr>
      <w:r>
        <w:rPr>
          <w:sz w:val="16"/>
        </w:rPr>
        <w:t>Deterioro hepático y renal</w:t>
      </w:r>
    </w:p>
    <w:p>
      <w:pPr>
        <w:pStyle w:val="ListParagraph"/>
        <w:numPr>
          <w:ilvl w:val="1"/>
          <w:numId w:val="8"/>
        </w:numPr>
        <w:tabs>
          <w:tab w:pos="1179" w:val="left" w:leader="none"/>
          <w:tab w:pos="1181" w:val="left" w:leader="none"/>
        </w:tabs>
        <w:spacing w:line="177" w:lineRule="exact" w:before="0" w:after="0"/>
        <w:ind w:left="1180" w:right="0" w:hanging="440"/>
        <w:jc w:val="left"/>
        <w:rPr>
          <w:sz w:val="16"/>
        </w:rPr>
      </w:pPr>
      <w:r>
        <w:rPr>
          <w:sz w:val="16"/>
        </w:rPr>
        <w:t>Otras poblaciones específicas</w:t>
      </w:r>
    </w:p>
    <w:p>
      <w:pPr>
        <w:pStyle w:val="Heading3"/>
        <w:spacing w:line="177" w:lineRule="exact"/>
        <w:ind w:left="440"/>
      </w:pPr>
      <w:r>
        <w:rPr>
          <w:w w:val="95"/>
        </w:rPr>
        <w:t>10 SOBREDOSIS</w:t>
      </w:r>
    </w:p>
    <w:p>
      <w:pPr>
        <w:pStyle w:val="BodyText"/>
        <w:spacing w:line="165" w:lineRule="exact"/>
        <w:ind w:left="740"/>
      </w:pPr>
      <w:r>
        <w:rPr/>
        <w:t>10.1 Experiencia Humana</w:t>
      </w:r>
    </w:p>
    <w:p>
      <w:pPr>
        <w:spacing w:after="0" w:line="165" w:lineRule="exact"/>
        <w:sectPr>
          <w:type w:val="continuous"/>
          <w:pgSz w:w="12240" w:h="15840"/>
          <w:pgMar w:top="600" w:bottom="280" w:left="580" w:right="0"/>
          <w:cols w:num="3" w:equalWidth="0">
            <w:col w:w="641" w:space="40"/>
            <w:col w:w="3755" w:space="784"/>
            <w:col w:w="6440"/>
          </w:cols>
        </w:sectPr>
      </w:pPr>
    </w:p>
    <w:p>
      <w:pPr>
        <w:pStyle w:val="BodyText"/>
        <w:tabs>
          <w:tab w:pos="879" w:val="left" w:leader="none"/>
        </w:tabs>
        <w:spacing w:line="174" w:lineRule="exact"/>
        <w:ind w:left="440"/>
      </w:pPr>
      <w:r>
        <w:rPr>
          <w:w w:val="95"/>
        </w:rPr>
        <w:t>5.8</w:t>
        <w:tab/>
      </w:r>
      <w:r>
        <w:rPr>
          <w:w w:val="90"/>
        </w:rPr>
        <w:t>Caídas</w:t>
      </w:r>
    </w:p>
    <w:p>
      <w:pPr>
        <w:pStyle w:val="BodyText"/>
        <w:spacing w:line="135" w:lineRule="exact"/>
        <w:ind w:left="440"/>
      </w:pPr>
      <w:r>
        <w:rPr/>
        <w:br w:type="column"/>
      </w:r>
      <w:r>
        <w:rPr/>
        <w:t>10.2 Tratamiento de la Sobredosis</w:t>
      </w:r>
    </w:p>
    <w:p>
      <w:pPr>
        <w:spacing w:after="0" w:line="135" w:lineRule="exact"/>
        <w:sectPr>
          <w:type w:val="continuous"/>
          <w:pgSz w:w="12240" w:h="15840"/>
          <w:pgMar w:top="600" w:bottom="280" w:left="580" w:right="0"/>
          <w:cols w:num="2" w:equalWidth="0">
            <w:col w:w="1205" w:space="4315"/>
            <w:col w:w="6140"/>
          </w:cols>
        </w:sectPr>
      </w:pPr>
    </w:p>
    <w:p>
      <w:pPr>
        <w:pStyle w:val="Heading3"/>
        <w:numPr>
          <w:ilvl w:val="0"/>
          <w:numId w:val="9"/>
        </w:numPr>
        <w:tabs>
          <w:tab w:pos="440" w:val="left" w:leader="none"/>
        </w:tabs>
        <w:spacing w:line="178" w:lineRule="exact" w:before="167" w:after="0"/>
        <w:ind w:left="440" w:right="0" w:hanging="300"/>
        <w:jc w:val="left"/>
      </w:pPr>
      <w:r>
        <w:rPr>
          <w:w w:val="95"/>
        </w:rPr>
        <w:t>DESCRIPCIÓN</w:t>
      </w:r>
    </w:p>
    <w:p>
      <w:pPr>
        <w:pStyle w:val="ListParagraph"/>
        <w:numPr>
          <w:ilvl w:val="0"/>
          <w:numId w:val="9"/>
        </w:numPr>
        <w:tabs>
          <w:tab w:pos="440" w:val="left" w:leader="none"/>
        </w:tabs>
        <w:spacing w:line="171" w:lineRule="exact" w:before="0" w:after="0"/>
        <w:ind w:left="440" w:right="0" w:hanging="300"/>
        <w:jc w:val="left"/>
        <w:rPr>
          <w:b/>
          <w:sz w:val="16"/>
        </w:rPr>
      </w:pPr>
      <w:r>
        <w:rPr>
          <w:b/>
          <w:w w:val="90"/>
          <w:sz w:val="16"/>
        </w:rPr>
        <w:t>FARMACOLOGÍA CLÍNICA</w:t>
      </w:r>
    </w:p>
    <w:p>
      <w:pPr>
        <w:pStyle w:val="ListParagraph"/>
        <w:numPr>
          <w:ilvl w:val="1"/>
          <w:numId w:val="9"/>
        </w:numPr>
        <w:tabs>
          <w:tab w:pos="880" w:val="left" w:leader="none"/>
        </w:tabs>
        <w:spacing w:line="171" w:lineRule="exact" w:before="0" w:after="0"/>
        <w:ind w:left="880" w:right="0" w:hanging="440"/>
        <w:jc w:val="left"/>
        <w:rPr>
          <w:sz w:val="16"/>
        </w:rPr>
      </w:pPr>
      <w:r>
        <w:rPr>
          <w:sz w:val="16"/>
        </w:rPr>
        <w:t>Mecanismo de acción</w:t>
      </w:r>
    </w:p>
    <w:p>
      <w:pPr>
        <w:pStyle w:val="ListParagraph"/>
        <w:numPr>
          <w:ilvl w:val="1"/>
          <w:numId w:val="9"/>
        </w:numPr>
        <w:tabs>
          <w:tab w:pos="880" w:val="left" w:leader="none"/>
        </w:tabs>
        <w:spacing w:line="171" w:lineRule="exact" w:before="0" w:after="0"/>
        <w:ind w:left="880" w:right="0" w:hanging="440"/>
        <w:jc w:val="left"/>
        <w:rPr>
          <w:sz w:val="16"/>
        </w:rPr>
      </w:pPr>
      <w:r>
        <w:rPr>
          <w:sz w:val="16"/>
        </w:rPr>
        <w:t>farmacodinámica</w:t>
      </w:r>
    </w:p>
    <w:p>
      <w:pPr>
        <w:pStyle w:val="ListParagraph"/>
        <w:numPr>
          <w:ilvl w:val="1"/>
          <w:numId w:val="9"/>
        </w:numPr>
        <w:tabs>
          <w:tab w:pos="880" w:val="left" w:leader="none"/>
        </w:tabs>
        <w:spacing w:line="171" w:lineRule="exact" w:before="0" w:after="0"/>
        <w:ind w:left="880" w:right="0" w:hanging="440"/>
        <w:jc w:val="left"/>
        <w:rPr>
          <w:sz w:val="16"/>
        </w:rPr>
      </w:pPr>
      <w:r>
        <w:rPr>
          <w:sz w:val="16"/>
        </w:rPr>
        <w:t>farmacocinética</w:t>
      </w:r>
    </w:p>
    <w:p>
      <w:pPr>
        <w:pStyle w:val="Heading3"/>
        <w:numPr>
          <w:ilvl w:val="0"/>
          <w:numId w:val="9"/>
        </w:numPr>
        <w:tabs>
          <w:tab w:pos="440" w:val="left" w:leader="none"/>
        </w:tabs>
        <w:spacing w:line="171" w:lineRule="exact" w:before="0" w:after="0"/>
        <w:ind w:left="440" w:right="0" w:hanging="300"/>
        <w:jc w:val="left"/>
      </w:pPr>
      <w:r>
        <w:rPr>
          <w:w w:val="90"/>
        </w:rPr>
        <w:t>TOXICOLOGÍA NO CLÍNICA</w:t>
      </w:r>
    </w:p>
    <w:p>
      <w:pPr>
        <w:pStyle w:val="ListParagraph"/>
        <w:numPr>
          <w:ilvl w:val="1"/>
          <w:numId w:val="9"/>
        </w:numPr>
        <w:tabs>
          <w:tab w:pos="880" w:val="left" w:leader="none"/>
        </w:tabs>
        <w:spacing w:line="171" w:lineRule="exact" w:before="0" w:after="0"/>
        <w:ind w:left="880" w:right="0" w:hanging="440"/>
        <w:jc w:val="left"/>
        <w:rPr>
          <w:sz w:val="16"/>
        </w:rPr>
      </w:pPr>
      <w:r>
        <w:rPr>
          <w:w w:val="90"/>
          <w:sz w:val="16"/>
        </w:rPr>
        <w:t>Carcinogénesis, mutagénesis, deterioro de la fertilidad</w:t>
      </w:r>
    </w:p>
    <w:p>
      <w:pPr>
        <w:pStyle w:val="ListParagraph"/>
        <w:numPr>
          <w:ilvl w:val="1"/>
          <w:numId w:val="9"/>
        </w:numPr>
        <w:tabs>
          <w:tab w:pos="880" w:val="left" w:leader="none"/>
        </w:tabs>
        <w:spacing w:line="178" w:lineRule="exact" w:before="0" w:after="0"/>
        <w:ind w:left="880" w:right="0" w:hanging="440"/>
        <w:jc w:val="left"/>
        <w:rPr>
          <w:sz w:val="16"/>
        </w:rPr>
      </w:pPr>
      <w:r>
        <w:rPr>
          <w:sz w:val="16"/>
        </w:rPr>
        <w:t>Toxicología y / o farmacología animal de</w:t>
      </w:r>
    </w:p>
    <w:p>
      <w:pPr>
        <w:pStyle w:val="Heading3"/>
        <w:numPr>
          <w:ilvl w:val="0"/>
          <w:numId w:val="9"/>
        </w:numPr>
        <w:tabs>
          <w:tab w:pos="440" w:val="left" w:leader="none"/>
        </w:tabs>
        <w:spacing w:line="178" w:lineRule="exact" w:before="162" w:after="0"/>
        <w:ind w:left="440" w:right="0" w:hanging="300"/>
        <w:jc w:val="left"/>
      </w:pPr>
      <w:r>
        <w:rPr>
          <w:w w:val="82"/>
        </w:rPr>
        <w:br w:type="column"/>
      </w:r>
      <w:r>
        <w:rPr>
          <w:w w:val="95"/>
        </w:rPr>
        <w:t>ESTUDIOS CLÍNICOS</w:t>
      </w:r>
    </w:p>
    <w:p>
      <w:pPr>
        <w:pStyle w:val="ListParagraph"/>
        <w:numPr>
          <w:ilvl w:val="1"/>
          <w:numId w:val="9"/>
        </w:numPr>
        <w:tabs>
          <w:tab w:pos="880" w:val="left" w:leader="none"/>
        </w:tabs>
        <w:spacing w:line="171" w:lineRule="exact" w:before="0" w:after="0"/>
        <w:ind w:left="880" w:right="0" w:hanging="440"/>
        <w:jc w:val="left"/>
        <w:rPr>
          <w:sz w:val="16"/>
        </w:rPr>
      </w:pPr>
      <w:r>
        <w:rPr>
          <w:sz w:val="16"/>
        </w:rPr>
        <w:t>Esquizofrenia</w:t>
      </w:r>
    </w:p>
    <w:p>
      <w:pPr>
        <w:pStyle w:val="ListParagraph"/>
        <w:numPr>
          <w:ilvl w:val="1"/>
          <w:numId w:val="9"/>
        </w:numPr>
        <w:tabs>
          <w:tab w:pos="880" w:val="left" w:leader="none"/>
        </w:tabs>
        <w:spacing w:line="171" w:lineRule="exact" w:before="0" w:after="0"/>
        <w:ind w:left="880" w:right="0" w:hanging="440"/>
        <w:jc w:val="left"/>
        <w:rPr>
          <w:sz w:val="16"/>
        </w:rPr>
      </w:pPr>
      <w:r>
        <w:rPr>
          <w:sz w:val="16"/>
        </w:rPr>
        <w:t>El trastorno bipolar I - Mantenimiento monoterapia</w:t>
      </w:r>
    </w:p>
    <w:p>
      <w:pPr>
        <w:pStyle w:val="Heading3"/>
        <w:numPr>
          <w:ilvl w:val="0"/>
          <w:numId w:val="10"/>
        </w:numPr>
        <w:tabs>
          <w:tab w:pos="440" w:val="left" w:leader="none"/>
        </w:tabs>
        <w:spacing w:line="171" w:lineRule="exact" w:before="0" w:after="0"/>
        <w:ind w:left="440" w:right="0" w:hanging="300"/>
        <w:jc w:val="left"/>
      </w:pPr>
      <w:r>
        <w:rPr>
          <w:w w:val="95"/>
        </w:rPr>
        <w:t>PRESENTACIÓN / ALMACENAMIENTO Y MANIPULACIÓN</w:t>
      </w:r>
    </w:p>
    <w:p>
      <w:pPr>
        <w:pStyle w:val="ListParagraph"/>
        <w:numPr>
          <w:ilvl w:val="1"/>
          <w:numId w:val="10"/>
        </w:numPr>
        <w:tabs>
          <w:tab w:pos="880" w:val="left" w:leader="none"/>
        </w:tabs>
        <w:spacing w:line="171" w:lineRule="exact" w:before="0" w:after="0"/>
        <w:ind w:left="880" w:right="0" w:hanging="440"/>
        <w:jc w:val="left"/>
        <w:rPr>
          <w:sz w:val="16"/>
        </w:rPr>
      </w:pPr>
      <w:r>
        <w:rPr>
          <w:sz w:val="16"/>
        </w:rPr>
        <w:t>Cómo suministrado</w:t>
      </w:r>
    </w:p>
    <w:p>
      <w:pPr>
        <w:pStyle w:val="ListParagraph"/>
        <w:numPr>
          <w:ilvl w:val="1"/>
          <w:numId w:val="10"/>
        </w:numPr>
        <w:tabs>
          <w:tab w:pos="880" w:val="left" w:leader="none"/>
        </w:tabs>
        <w:spacing w:line="171" w:lineRule="exact" w:before="0" w:after="0"/>
        <w:ind w:left="880" w:right="0" w:hanging="440"/>
        <w:jc w:val="left"/>
        <w:rPr>
          <w:sz w:val="16"/>
        </w:rPr>
      </w:pPr>
      <w:r>
        <w:rPr>
          <w:w w:val="95"/>
          <w:sz w:val="16"/>
        </w:rPr>
        <w:t>Almacenamiento</w:t>
      </w:r>
    </w:p>
    <w:p>
      <w:pPr>
        <w:pStyle w:val="Heading3"/>
        <w:numPr>
          <w:ilvl w:val="0"/>
          <w:numId w:val="10"/>
        </w:numPr>
        <w:tabs>
          <w:tab w:pos="440" w:val="left" w:leader="none"/>
        </w:tabs>
        <w:spacing w:line="178" w:lineRule="exact" w:before="0" w:after="0"/>
        <w:ind w:left="440" w:right="0" w:hanging="300"/>
        <w:jc w:val="left"/>
      </w:pPr>
      <w:r>
        <w:rPr>
          <w:spacing w:val="-3"/>
          <w:w w:val="95"/>
        </w:rPr>
        <w:t>PACIENTE </w:t>
      </w:r>
      <w:r>
        <w:rPr>
          <w:w w:val="95"/>
        </w:rPr>
        <w:t>CONSEJERIA Guía del Medicamento y INFORMACIÓN.</w:t>
      </w:r>
    </w:p>
    <w:p>
      <w:pPr>
        <w:pStyle w:val="BodyText"/>
        <w:spacing w:before="125"/>
        <w:ind w:left="140"/>
      </w:pPr>
      <w:r>
        <w:rPr/>
        <w:t>* Las secciones o subsecciones omitidas de la información de prescripción completa no se enumeran.</w:t>
      </w:r>
    </w:p>
    <w:p>
      <w:pPr>
        <w:spacing w:after="0"/>
        <w:sectPr>
          <w:headerReference w:type="default" r:id="rId6"/>
          <w:footerReference w:type="default" r:id="rId7"/>
          <w:pgSz w:w="12240" w:h="15840"/>
          <w:pgMar w:header="676" w:footer="367" w:top="860" w:bottom="560" w:left="580" w:right="0"/>
          <w:pgNumType w:start="2"/>
          <w:cols w:num="2" w:equalWidth="0">
            <w:col w:w="4232" w:space="1288"/>
            <w:col w:w="6140"/>
          </w:cols>
        </w:sectPr>
      </w:pPr>
    </w:p>
    <w:p>
      <w:pPr>
        <w:pStyle w:val="BodyText"/>
        <w:spacing w:before="7"/>
        <w:rPr>
          <w:sz w:val="18"/>
        </w:rPr>
      </w:pPr>
    </w:p>
    <w:p>
      <w:pPr>
        <w:pStyle w:val="BodyText"/>
        <w:spacing w:line="20" w:lineRule="exact"/>
        <w:ind w:left="130"/>
        <w:rPr>
          <w:sz w:val="2"/>
        </w:rPr>
      </w:pPr>
      <w:r>
        <w:rPr>
          <w:sz w:val="2"/>
        </w:rPr>
        <w:pict>
          <v:group style="width:540pt;height:1pt;mso-position-horizontal-relative:char;mso-position-vertical-relative:line" coordorigin="0,0" coordsize="10800,20">
            <v:line style="position:absolute" from="0,10" to="10800,10" stroked="true" strokeweight="1pt" strokecolor="#000000">
              <v:stroke dashstyle="solid"/>
            </v:line>
          </v:group>
        </w:pict>
      </w:r>
      <w:r>
        <w:rPr>
          <w:sz w:val="2"/>
        </w:rPr>
      </w:r>
    </w:p>
    <w:p>
      <w:pPr>
        <w:pStyle w:val="BodyText"/>
        <w:spacing w:before="6"/>
        <w:rPr>
          <w:sz w:val="19"/>
        </w:rPr>
      </w:pPr>
    </w:p>
    <w:p>
      <w:pPr>
        <w:spacing w:after="0"/>
        <w:rPr>
          <w:sz w:val="19"/>
        </w:rPr>
        <w:sectPr>
          <w:type w:val="continuous"/>
          <w:pgSz w:w="12240" w:h="15840"/>
          <w:pgMar w:top="600" w:bottom="280" w:left="580" w:right="0"/>
        </w:sectPr>
      </w:pPr>
    </w:p>
    <w:p>
      <w:pPr>
        <w:pStyle w:val="Heading3"/>
        <w:spacing w:before="105"/>
        <w:jc w:val="both"/>
      </w:pPr>
      <w:r>
        <w:rPr/>
        <w:t>Información de prescripción completa</w:t>
      </w:r>
    </w:p>
    <w:p>
      <w:pPr>
        <w:pStyle w:val="BodyText"/>
        <w:spacing w:before="5"/>
        <w:rPr>
          <w:b/>
          <w:sz w:val="6"/>
        </w:rPr>
      </w:pPr>
    </w:p>
    <w:p>
      <w:pPr>
        <w:pStyle w:val="BodyText"/>
        <w:ind w:left="139" w:right="-44"/>
        <w:rPr>
          <w:sz w:val="20"/>
        </w:rPr>
      </w:pPr>
      <w:r>
        <w:rPr>
          <w:position w:val="0"/>
          <w:sz w:val="20"/>
        </w:rPr>
        <w:pict>
          <v:shape style="width:263.9pt;height:66.05pt;mso-position-horizontal-relative:char;mso-position-vertical-relative:line" type="#_x0000_t202" filled="false" stroked="true" strokeweight=".75pt" strokecolor="#000000">
            <w10:anchorlock/>
            <v:textbox inset="0,0,0,0">
              <w:txbxContent>
                <w:p>
                  <w:pPr>
                    <w:spacing w:line="235" w:lineRule="auto" w:before="68"/>
                    <w:ind w:left="1391" w:right="175" w:hanging="1139"/>
                    <w:jc w:val="left"/>
                    <w:rPr>
                      <w:b/>
                      <w:i/>
                      <w:sz w:val="16"/>
                    </w:rPr>
                  </w:pPr>
                  <w:r>
                    <w:rPr>
                      <w:b/>
                      <w:i/>
                      <w:w w:val="95"/>
                      <w:sz w:val="16"/>
                    </w:rPr>
                    <w:t>ADVERTENCIA: aumento de la mortalidad en pacientes ancianos con </w:t>
                  </w:r>
                  <w:r>
                    <w:rPr>
                      <w:b/>
                      <w:i/>
                      <w:sz w:val="16"/>
                    </w:rPr>
                    <w:t>PSYCHOSIS DEMENTIA RELACIONADAS</w:t>
                  </w:r>
                </w:p>
                <w:p>
                  <w:pPr>
                    <w:spacing w:line="235" w:lineRule="auto" w:before="89"/>
                    <w:ind w:left="100" w:right="98" w:firstLine="0"/>
                    <w:jc w:val="both"/>
                    <w:rPr>
                      <w:b/>
                      <w:i/>
                      <w:sz w:val="16"/>
                    </w:rPr>
                  </w:pPr>
                  <w:r>
                    <w:rPr>
                      <w:b/>
                      <w:w w:val="90"/>
                      <w:sz w:val="16"/>
                    </w:rPr>
                    <w:t>Los pacientes ancianos con psicosis relacionada con demencia tratados con fármacos antipsicóticos tienen un mayor riesgo de muerte. ABILIFY Mantenim no está aprobado para el tratamiento de pacientes con psicosis relacionada con demencia [ver Advertencias</w:t>
                  </w:r>
                  <w:r>
                    <w:rPr>
                      <w:b/>
                      <w:i/>
                      <w:sz w:val="16"/>
                    </w:rPr>
                    <w:t>y precauciones (5.1)].</w:t>
                  </w:r>
                </w:p>
              </w:txbxContent>
            </v:textbox>
            <v:stroke dashstyle="solid"/>
          </v:shape>
        </w:pict>
      </w:r>
      <w:r>
        <w:rPr>
          <w:position w:val="0"/>
          <w:sz w:val="20"/>
        </w:rPr>
      </w:r>
    </w:p>
    <w:p>
      <w:pPr>
        <w:pStyle w:val="ListParagraph"/>
        <w:numPr>
          <w:ilvl w:val="0"/>
          <w:numId w:val="11"/>
        </w:numPr>
        <w:tabs>
          <w:tab w:pos="440" w:val="left" w:leader="none"/>
        </w:tabs>
        <w:spacing w:line="240" w:lineRule="auto" w:before="111" w:after="0"/>
        <w:ind w:left="439" w:right="0" w:hanging="300"/>
        <w:jc w:val="both"/>
        <w:rPr>
          <w:b/>
          <w:sz w:val="16"/>
        </w:rPr>
      </w:pPr>
      <w:r>
        <w:rPr>
          <w:b/>
          <w:w w:val="90"/>
          <w:sz w:val="16"/>
        </w:rPr>
        <w:t>INDICACIONES Y USO</w:t>
      </w:r>
    </w:p>
    <w:p>
      <w:pPr>
        <w:pStyle w:val="BodyText"/>
        <w:spacing w:before="10"/>
        <w:ind w:left="139"/>
        <w:jc w:val="both"/>
      </w:pPr>
      <w:r>
        <w:rPr/>
        <w:t>ABILIFY Mantenim (aripiprazol) está indicado para:</w:t>
      </w:r>
    </w:p>
    <w:p>
      <w:pPr>
        <w:pStyle w:val="ListParagraph"/>
        <w:numPr>
          <w:ilvl w:val="0"/>
          <w:numId w:val="2"/>
        </w:numPr>
        <w:tabs>
          <w:tab w:pos="428" w:val="left" w:leader="none"/>
        </w:tabs>
        <w:spacing w:line="240" w:lineRule="auto" w:before="9" w:after="0"/>
        <w:ind w:left="427" w:right="0" w:hanging="288"/>
        <w:jc w:val="both"/>
        <w:rPr>
          <w:i/>
          <w:sz w:val="16"/>
        </w:rPr>
      </w:pPr>
      <w:r>
        <w:rPr>
          <w:sz w:val="16"/>
        </w:rPr>
        <w:t>El tratamiento de la esquizofrenia en adultos [ver Estudios clínicos (14.1)]</w:t>
      </w:r>
    </w:p>
    <w:p>
      <w:pPr>
        <w:pStyle w:val="ListParagraph"/>
        <w:numPr>
          <w:ilvl w:val="0"/>
          <w:numId w:val="2"/>
        </w:numPr>
        <w:tabs>
          <w:tab w:pos="427" w:val="left" w:leader="none"/>
          <w:tab w:pos="428" w:val="left" w:leader="none"/>
        </w:tabs>
        <w:spacing w:line="216" w:lineRule="auto" w:before="25" w:after="0"/>
        <w:ind w:left="427" w:right="39" w:hanging="288"/>
        <w:jc w:val="left"/>
        <w:rPr>
          <w:i/>
          <w:sz w:val="16"/>
        </w:rPr>
      </w:pPr>
      <w:r>
        <w:rPr>
          <w:w w:val="90"/>
          <w:sz w:val="16"/>
        </w:rPr>
        <w:t>tratamiento de monoterapia de mantenimiento del trastorno bipolar I en adultos [ver Clinical </w:t>
      </w:r>
      <w:r>
        <w:rPr>
          <w:i/>
          <w:sz w:val="16"/>
        </w:rPr>
        <w:t>Estudios (14.2)]</w:t>
      </w:r>
    </w:p>
    <w:p>
      <w:pPr>
        <w:pStyle w:val="Heading3"/>
        <w:numPr>
          <w:ilvl w:val="0"/>
          <w:numId w:val="11"/>
        </w:numPr>
        <w:tabs>
          <w:tab w:pos="439" w:val="left" w:leader="none"/>
          <w:tab w:pos="440" w:val="left" w:leader="none"/>
        </w:tabs>
        <w:spacing w:line="240" w:lineRule="auto" w:before="70" w:after="0"/>
        <w:ind w:left="439" w:right="0" w:hanging="300"/>
        <w:jc w:val="left"/>
      </w:pPr>
      <w:r>
        <w:rPr>
          <w:w w:val="90"/>
        </w:rPr>
        <w:t>DOSIFICACIÓN Y ADMINISTRACIÓN</w:t>
      </w:r>
    </w:p>
    <w:p>
      <w:pPr>
        <w:pStyle w:val="ListParagraph"/>
        <w:numPr>
          <w:ilvl w:val="1"/>
          <w:numId w:val="11"/>
        </w:numPr>
        <w:tabs>
          <w:tab w:pos="440" w:val="left" w:leader="none"/>
        </w:tabs>
        <w:spacing w:line="216" w:lineRule="auto" w:before="54" w:after="0"/>
        <w:ind w:left="439" w:right="39" w:hanging="300"/>
        <w:jc w:val="left"/>
        <w:rPr>
          <w:b/>
          <w:sz w:val="16"/>
        </w:rPr>
      </w:pPr>
      <w:r>
        <w:rPr>
          <w:b/>
          <w:w w:val="90"/>
          <w:sz w:val="16"/>
        </w:rPr>
        <w:t>Dosis general para el tratamiento de la esquizofrenia y mantenimiento Monoterapia de trastorno bipolar I</w:t>
      </w:r>
    </w:p>
    <w:p>
      <w:pPr>
        <w:pStyle w:val="BodyText"/>
        <w:spacing w:line="216" w:lineRule="auto" w:before="27"/>
        <w:ind w:left="139" w:right="38"/>
        <w:jc w:val="both"/>
      </w:pPr>
      <w:r>
        <w:rPr/>
        <w:t>ABILIFY Mantenim es sólo para ser administrada por inyección intramuscular por un profesional de la salud. La dosis inicial y de mantenimiento recomendada de ABILIFY Mantenim es de 400 mg mensuales (no antes de 26 días después de la inyección anterior).</w:t>
      </w:r>
    </w:p>
    <w:p>
      <w:pPr>
        <w:pStyle w:val="BodyText"/>
        <w:spacing w:line="216" w:lineRule="auto" w:before="41"/>
        <w:ind w:left="139" w:right="39"/>
        <w:jc w:val="both"/>
      </w:pPr>
      <w:r>
        <w:rPr/>
        <w:t>Para los pacientes que nunca han tomado aripiprazol, establecer la tolerabilidad con aripiprazol oral antes de iniciar el tratamiento con aripiprazol Mantenim. Debido a la vida media de aripiprazol oral, se puede tardar hasta 2 semanas para evaluar plenamente la tolerabilidad.</w:t>
      </w:r>
    </w:p>
    <w:p>
      <w:pPr>
        <w:pStyle w:val="BodyText"/>
        <w:spacing w:line="216" w:lineRule="auto" w:before="41"/>
        <w:ind w:left="139" w:right="38"/>
        <w:jc w:val="both"/>
      </w:pPr>
      <w:r>
        <w:rPr>
          <w:w w:val="95"/>
        </w:rPr>
        <w:t>Después de la primera inyección ABILIFY Mantenim, administrar aripiprazol oral (10 mg a 20 mg) durante 14 días consecutivos para alcanzar concentraciones de aripiprazol terapéuticos durante la iniciación de la terapia. Para los pacientes ya estables en otro antipsicótico oral (y conocidas para tolerar aripiprazol), después de la primera inyección ABILIFY Mantenim,</w:t>
      </w:r>
      <w:r>
        <w:rPr/>
        <w:t>continuar el tratamiento con el antipsicótico durante 14 días consecutivos para mantener concentraciones terapéuticas antipsicóticos durante la iniciación de la terapia.</w:t>
      </w:r>
    </w:p>
    <w:p>
      <w:pPr>
        <w:pStyle w:val="BodyText"/>
        <w:spacing w:line="216" w:lineRule="auto" w:before="40"/>
        <w:ind w:left="139" w:right="39"/>
        <w:jc w:val="both"/>
      </w:pPr>
      <w:r>
        <w:rPr>
          <w:w w:val="90"/>
        </w:rPr>
        <w:t>Si hay reacciones adversas con la dosis de 400 mg, considerar la reducción de la dosificación </w:t>
      </w:r>
      <w:r>
        <w:rPr/>
        <w:t>a 300 mg una vez al mes.</w:t>
      </w:r>
    </w:p>
    <w:p>
      <w:pPr>
        <w:pStyle w:val="Heading3"/>
        <w:numPr>
          <w:ilvl w:val="1"/>
          <w:numId w:val="11"/>
        </w:numPr>
        <w:tabs>
          <w:tab w:pos="440" w:val="left" w:leader="none"/>
        </w:tabs>
        <w:spacing w:line="240" w:lineRule="auto" w:before="56" w:after="0"/>
        <w:ind w:left="439" w:right="0" w:hanging="300"/>
        <w:jc w:val="left"/>
      </w:pPr>
      <w:r>
        <w:rPr>
          <w:w w:val="95"/>
        </w:rPr>
        <w:t>Los ajustes de dosificación para dosis perdidas</w:t>
      </w:r>
    </w:p>
    <w:p>
      <w:pPr>
        <w:pStyle w:val="BodyText"/>
        <w:spacing w:before="9"/>
        <w:ind w:left="139"/>
      </w:pPr>
      <w:r>
        <w:rPr/>
        <w:t>Si la segunda o tercera dosis se pierden:</w:t>
      </w:r>
    </w:p>
    <w:p>
      <w:pPr>
        <w:pStyle w:val="ListParagraph"/>
        <w:numPr>
          <w:ilvl w:val="2"/>
          <w:numId w:val="11"/>
        </w:numPr>
        <w:tabs>
          <w:tab w:pos="860" w:val="left" w:leader="none"/>
        </w:tabs>
        <w:spacing w:line="216" w:lineRule="auto" w:before="25" w:after="0"/>
        <w:ind w:left="860" w:right="38" w:hanging="421"/>
        <w:jc w:val="both"/>
        <w:rPr>
          <w:sz w:val="16"/>
        </w:rPr>
      </w:pPr>
      <w:r>
        <w:rPr>
          <w:b/>
          <w:w w:val="90"/>
          <w:sz w:val="16"/>
        </w:rPr>
        <w:t>Si han transcurrido más de 4 semanas y menos de 5 semanas desde la última </w:t>
      </w:r>
      <w:r>
        <w:rPr>
          <w:b/>
          <w:sz w:val="16"/>
        </w:rPr>
        <w:t>inyección, </w:t>
      </w:r>
      <w:r>
        <w:rPr>
          <w:sz w:val="16"/>
        </w:rPr>
        <w:t>administrar la inyección tan pronto como sea posible.</w:t>
      </w:r>
    </w:p>
    <w:p>
      <w:pPr>
        <w:pStyle w:val="ListParagraph"/>
        <w:numPr>
          <w:ilvl w:val="2"/>
          <w:numId w:val="11"/>
        </w:numPr>
        <w:tabs>
          <w:tab w:pos="860" w:val="left" w:leader="none"/>
        </w:tabs>
        <w:spacing w:line="216" w:lineRule="auto" w:before="28" w:after="0"/>
        <w:ind w:left="859" w:right="39" w:hanging="420"/>
        <w:jc w:val="both"/>
        <w:rPr>
          <w:sz w:val="16"/>
        </w:rPr>
      </w:pPr>
      <w:r>
        <w:rPr>
          <w:b/>
          <w:w w:val="95"/>
          <w:sz w:val="16"/>
        </w:rPr>
        <w:t>Si han transcurrido más de 5 semanas desde la última inyección, </w:t>
      </w:r>
      <w:r>
        <w:rPr>
          <w:spacing w:val="-3"/>
          <w:w w:val="95"/>
          <w:sz w:val="16"/>
        </w:rPr>
        <w:t>reiniciar </w:t>
      </w:r>
      <w:r>
        <w:rPr>
          <w:w w:val="95"/>
          <w:sz w:val="16"/>
        </w:rPr>
        <w:t>aripiprazol oral concomitante durante 14 días con el siguiente administrado </w:t>
      </w:r>
      <w:r>
        <w:rPr>
          <w:sz w:val="16"/>
        </w:rPr>
        <w:t>inyección.</w:t>
      </w:r>
    </w:p>
    <w:p>
      <w:pPr>
        <w:pStyle w:val="BodyText"/>
        <w:spacing w:before="12"/>
        <w:ind w:left="139"/>
      </w:pPr>
      <w:r>
        <w:rPr/>
        <w:t>Si las dosis cuarto o posteriores se pierden:</w:t>
      </w:r>
    </w:p>
    <w:p>
      <w:pPr>
        <w:pStyle w:val="ListParagraph"/>
        <w:numPr>
          <w:ilvl w:val="2"/>
          <w:numId w:val="11"/>
        </w:numPr>
        <w:tabs>
          <w:tab w:pos="860" w:val="left" w:leader="none"/>
        </w:tabs>
        <w:spacing w:line="216" w:lineRule="auto" w:before="24" w:after="0"/>
        <w:ind w:left="860" w:right="38" w:hanging="421"/>
        <w:jc w:val="both"/>
        <w:rPr>
          <w:sz w:val="16"/>
        </w:rPr>
      </w:pPr>
      <w:r>
        <w:rPr>
          <w:b/>
          <w:w w:val="90"/>
          <w:sz w:val="16"/>
        </w:rPr>
        <w:t>Si han transcurrido más de 4 semanas y menos de 6 semanas desde la última </w:t>
      </w:r>
      <w:r>
        <w:rPr>
          <w:b/>
          <w:sz w:val="16"/>
        </w:rPr>
        <w:t>inyección, </w:t>
      </w:r>
      <w:r>
        <w:rPr>
          <w:sz w:val="16"/>
        </w:rPr>
        <w:t>administrar la inyección tan pronto como sea posible.</w:t>
      </w:r>
    </w:p>
    <w:p>
      <w:pPr>
        <w:pStyle w:val="ListParagraph"/>
        <w:numPr>
          <w:ilvl w:val="2"/>
          <w:numId w:val="11"/>
        </w:numPr>
        <w:tabs>
          <w:tab w:pos="860" w:val="left" w:leader="none"/>
        </w:tabs>
        <w:spacing w:line="216" w:lineRule="auto" w:before="28" w:after="0"/>
        <w:ind w:left="859" w:right="39" w:hanging="420"/>
        <w:jc w:val="both"/>
        <w:rPr>
          <w:sz w:val="16"/>
        </w:rPr>
      </w:pPr>
      <w:r>
        <w:rPr>
          <w:b/>
          <w:w w:val="95"/>
          <w:sz w:val="16"/>
        </w:rPr>
        <w:t>Si han transcurrido más de 6 semanas desde la última inyección, </w:t>
      </w:r>
      <w:r>
        <w:rPr>
          <w:spacing w:val="-3"/>
          <w:w w:val="95"/>
          <w:sz w:val="16"/>
        </w:rPr>
        <w:t>reiniciar </w:t>
      </w:r>
      <w:r>
        <w:rPr>
          <w:w w:val="95"/>
          <w:sz w:val="16"/>
        </w:rPr>
        <w:t>aripiprazol oral concomitante durante 14 días con el siguiente administrado </w:t>
      </w:r>
      <w:r>
        <w:rPr>
          <w:sz w:val="16"/>
        </w:rPr>
        <w:t>inyección.</w:t>
      </w:r>
    </w:p>
    <w:p>
      <w:pPr>
        <w:pStyle w:val="Heading3"/>
        <w:numPr>
          <w:ilvl w:val="1"/>
          <w:numId w:val="11"/>
        </w:numPr>
        <w:tabs>
          <w:tab w:pos="440" w:val="left" w:leader="none"/>
        </w:tabs>
        <w:spacing w:line="182" w:lineRule="exact" w:before="41" w:after="0"/>
        <w:ind w:left="439" w:right="0" w:hanging="300"/>
        <w:jc w:val="left"/>
      </w:pPr>
      <w:r>
        <w:rPr>
          <w:w w:val="95"/>
        </w:rPr>
        <w:t>Ajustes de la dosificación para las consideraciones del citocromo P450</w:t>
      </w:r>
    </w:p>
    <w:p>
      <w:pPr>
        <w:pStyle w:val="BodyText"/>
        <w:spacing w:line="216" w:lineRule="auto" w:before="12"/>
        <w:ind w:left="139" w:right="38"/>
        <w:jc w:val="both"/>
      </w:pPr>
      <w:r>
        <w:rPr/>
        <w:t>Ajustes de dosis se recomienda en pacientes que son metabolizadores lentos de CYP2D6 y en pacientes que toman inhibidores de CYP3A4 concomitantes o inhibidores de CYP2D6 por más de 14 días (véase la Tabla 1). ajuste de la dosis para 200 mg y 160 mg se obtienen solamente mediante el uso de los 300 mg o 400 mg viales de resistencia para deltoides intramuscular o inyección en el glúteo.</w:t>
      </w:r>
    </w:p>
    <w:p>
      <w:pPr>
        <w:spacing w:line="216" w:lineRule="auto" w:before="55"/>
        <w:ind w:left="139" w:right="38" w:firstLine="0"/>
        <w:jc w:val="both"/>
        <w:rPr>
          <w:sz w:val="16"/>
        </w:rPr>
      </w:pPr>
      <w:r>
        <w:rPr>
          <w:w w:val="95"/>
          <w:sz w:val="16"/>
        </w:rPr>
        <w:t>Si el inhibidor de inhibidor de CYP3A4 o CYP2D6 se retira, la ABILIFY Mantenim </w:t>
      </w:r>
      <w:r>
        <w:rPr>
          <w:sz w:val="16"/>
        </w:rPr>
        <w:t>dosificación puede ser necesario aumentar [ver Dosificación y administración (2.1)].</w:t>
      </w:r>
    </w:p>
    <w:p>
      <w:pPr>
        <w:pStyle w:val="BodyText"/>
        <w:spacing w:line="216" w:lineRule="auto" w:before="56"/>
        <w:ind w:left="139" w:right="38"/>
        <w:jc w:val="both"/>
      </w:pPr>
      <w:r>
        <w:rPr>
          <w:w w:val="90"/>
        </w:rPr>
        <w:t>Evitar el uso concomitante de inductores de CYP3A4 con ABILIFY Mantenim durante más de 14 días debido a que los niveles en sangre de aripiprazol se disminuyen y pueden estar </w:t>
      </w:r>
      <w:r>
        <w:rPr/>
        <w:t>por debajo de los niveles efectivos.</w:t>
      </w:r>
    </w:p>
    <w:p>
      <w:pPr>
        <w:pStyle w:val="BodyText"/>
        <w:spacing w:line="216" w:lineRule="auto" w:before="56"/>
        <w:ind w:left="139" w:right="38"/>
        <w:jc w:val="both"/>
      </w:pPr>
      <w:r>
        <w:rPr>
          <w:w w:val="95"/>
        </w:rPr>
        <w:t>los ajustes de dosis no se recomiendan para los pacientes con el uso concomitante de inhibidores de CYP3A4, CYP2D6 inhibidores o inductores de CYP3A4 por menos de 14 días.</w:t>
      </w:r>
    </w:p>
    <w:p>
      <w:pPr>
        <w:pStyle w:val="Heading3"/>
        <w:spacing w:line="216" w:lineRule="auto" w:before="124"/>
        <w:ind w:left="799" w:right="721" w:hanging="660"/>
        <w:jc w:val="both"/>
      </w:pPr>
      <w:r>
        <w:rPr>
          <w:b w:val="0"/>
        </w:rPr>
        <w:br w:type="column"/>
      </w:r>
      <w:r>
        <w:rPr>
          <w:spacing w:val="-6"/>
          <w:w w:val="85"/>
        </w:rPr>
        <w:t>Mesa </w:t>
      </w:r>
      <w:r>
        <w:rPr>
          <w:w w:val="85"/>
        </w:rPr>
        <w:t>1: Los ajustes de dosis de ABILIFY Mantenim en pacientes que se sabe CYP2D6 pobres Metabolizadores y pacientes que toman concomitante CYP2D6, inhibidores de CYP3A4 y / o inductores de CYP3A4 por más de 14 días</w:t>
      </w:r>
    </w:p>
    <w:p>
      <w:pPr>
        <w:pStyle w:val="BodyText"/>
        <w:spacing w:before="5"/>
        <w:rPr>
          <w:b/>
          <w:sz w:val="2"/>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6"/>
        <w:gridCol w:w="2011"/>
      </w:tblGrid>
      <w:tr>
        <w:trPr>
          <w:trHeight w:val="286" w:hRule="atLeast"/>
        </w:trPr>
        <w:tc>
          <w:tcPr>
            <w:tcW w:w="3276" w:type="dxa"/>
          </w:tcPr>
          <w:p>
            <w:pPr>
              <w:pStyle w:val="TableParagraph"/>
              <w:spacing w:before="50"/>
              <w:ind w:left="107"/>
              <w:rPr>
                <w:b/>
                <w:sz w:val="16"/>
              </w:rPr>
            </w:pPr>
            <w:r>
              <w:rPr>
                <w:b/>
                <w:w w:val="95"/>
                <w:sz w:val="16"/>
              </w:rPr>
              <w:t>factores</w:t>
            </w:r>
          </w:p>
        </w:tc>
        <w:tc>
          <w:tcPr>
            <w:tcW w:w="2011" w:type="dxa"/>
          </w:tcPr>
          <w:p>
            <w:pPr>
              <w:pStyle w:val="TableParagraph"/>
              <w:spacing w:before="50"/>
              <w:ind w:left="444" w:right="452"/>
              <w:jc w:val="center"/>
              <w:rPr>
                <w:b/>
                <w:sz w:val="16"/>
              </w:rPr>
            </w:pPr>
            <w:r>
              <w:rPr>
                <w:b/>
                <w:w w:val="95"/>
                <w:sz w:val="16"/>
              </w:rPr>
              <w:t>dosis ajustada</w:t>
            </w:r>
          </w:p>
        </w:tc>
      </w:tr>
      <w:tr>
        <w:trPr>
          <w:trHeight w:val="220" w:hRule="atLeast"/>
        </w:trPr>
        <w:tc>
          <w:tcPr>
            <w:tcW w:w="5287" w:type="dxa"/>
            <w:gridSpan w:val="2"/>
          </w:tcPr>
          <w:p>
            <w:pPr>
              <w:pStyle w:val="TableParagraph"/>
              <w:spacing w:line="183" w:lineRule="exact" w:before="17"/>
              <w:ind w:left="107"/>
              <w:rPr>
                <w:b/>
                <w:sz w:val="16"/>
              </w:rPr>
            </w:pPr>
            <w:r>
              <w:rPr>
                <w:b/>
                <w:w w:val="95"/>
                <w:sz w:val="16"/>
              </w:rPr>
              <w:t>Metabolizadores lentos de CYP2D6</w:t>
            </w:r>
          </w:p>
        </w:tc>
      </w:tr>
      <w:tr>
        <w:trPr>
          <w:trHeight w:val="220" w:hRule="atLeast"/>
        </w:trPr>
        <w:tc>
          <w:tcPr>
            <w:tcW w:w="3276" w:type="dxa"/>
          </w:tcPr>
          <w:p>
            <w:pPr>
              <w:pStyle w:val="TableParagraph"/>
              <w:spacing w:line="183" w:lineRule="exact" w:before="17"/>
              <w:ind w:left="107"/>
              <w:rPr>
                <w:sz w:val="16"/>
              </w:rPr>
            </w:pPr>
            <w:r>
              <w:rPr>
                <w:sz w:val="16"/>
              </w:rPr>
              <w:t>Los metabolizadores lentos de CYP2D6 conocidos</w:t>
            </w:r>
          </w:p>
        </w:tc>
        <w:tc>
          <w:tcPr>
            <w:tcW w:w="2011" w:type="dxa"/>
          </w:tcPr>
          <w:p>
            <w:pPr>
              <w:pStyle w:val="TableParagraph"/>
              <w:spacing w:line="183" w:lineRule="exact" w:before="17"/>
              <w:ind w:left="444" w:right="452"/>
              <w:jc w:val="center"/>
              <w:rPr>
                <w:sz w:val="16"/>
              </w:rPr>
            </w:pPr>
            <w:r>
              <w:rPr>
                <w:sz w:val="16"/>
              </w:rPr>
              <w:t>300 mg</w:t>
            </w:r>
          </w:p>
        </w:tc>
      </w:tr>
      <w:tr>
        <w:trPr>
          <w:trHeight w:val="400" w:hRule="atLeast"/>
        </w:trPr>
        <w:tc>
          <w:tcPr>
            <w:tcW w:w="3276" w:type="dxa"/>
          </w:tcPr>
          <w:p>
            <w:pPr>
              <w:pStyle w:val="TableParagraph"/>
              <w:spacing w:line="180" w:lineRule="exact" w:before="23"/>
              <w:ind w:left="107" w:right="473"/>
              <w:rPr>
                <w:sz w:val="16"/>
              </w:rPr>
            </w:pPr>
            <w:r>
              <w:rPr>
                <w:w w:val="90"/>
                <w:sz w:val="16"/>
              </w:rPr>
              <w:t>Conocidos pobres Metabolizadores CYP2D6 que toman </w:t>
            </w:r>
            <w:r>
              <w:rPr>
                <w:sz w:val="16"/>
              </w:rPr>
              <w:t>inhibidores de CYP3A4 concomitantes</w:t>
            </w:r>
          </w:p>
        </w:tc>
        <w:tc>
          <w:tcPr>
            <w:tcW w:w="2011" w:type="dxa"/>
          </w:tcPr>
          <w:p>
            <w:pPr>
              <w:pStyle w:val="TableParagraph"/>
              <w:spacing w:before="107"/>
              <w:ind w:left="444" w:right="452"/>
              <w:jc w:val="center"/>
              <w:rPr>
                <w:sz w:val="9"/>
              </w:rPr>
            </w:pPr>
            <w:r>
              <w:rPr>
                <w:sz w:val="16"/>
              </w:rPr>
              <w:t>200 mg</w:t>
            </w:r>
            <w:r>
              <w:rPr>
                <w:position w:val="5"/>
                <w:sz w:val="9"/>
              </w:rPr>
              <w:t>1</w:t>
            </w:r>
          </w:p>
        </w:tc>
      </w:tr>
      <w:tr>
        <w:trPr>
          <w:trHeight w:val="220" w:hRule="atLeast"/>
        </w:trPr>
        <w:tc>
          <w:tcPr>
            <w:tcW w:w="5287" w:type="dxa"/>
            <w:gridSpan w:val="2"/>
          </w:tcPr>
          <w:p>
            <w:pPr>
              <w:pStyle w:val="TableParagraph"/>
              <w:spacing w:line="183" w:lineRule="exact" w:before="17"/>
              <w:ind w:left="107"/>
              <w:rPr>
                <w:b/>
                <w:sz w:val="16"/>
              </w:rPr>
            </w:pPr>
            <w:r>
              <w:rPr>
                <w:b/>
                <w:w w:val="95"/>
                <w:sz w:val="16"/>
              </w:rPr>
              <w:t>Los pacientes que toman 400 mg de ABILIFY Mantenim</w:t>
            </w:r>
          </w:p>
        </w:tc>
      </w:tr>
      <w:tr>
        <w:trPr>
          <w:trHeight w:val="220" w:hRule="atLeast"/>
        </w:trPr>
        <w:tc>
          <w:tcPr>
            <w:tcW w:w="3276" w:type="dxa"/>
          </w:tcPr>
          <w:p>
            <w:pPr>
              <w:pStyle w:val="TableParagraph"/>
              <w:spacing w:line="183" w:lineRule="exact" w:before="17"/>
              <w:ind w:left="107"/>
              <w:rPr>
                <w:sz w:val="16"/>
              </w:rPr>
            </w:pPr>
            <w:r>
              <w:rPr>
                <w:w w:val="95"/>
                <w:sz w:val="16"/>
              </w:rPr>
              <w:t>inhibidores de CYP2D6 o CYP3A4 fuertes</w:t>
            </w:r>
          </w:p>
        </w:tc>
        <w:tc>
          <w:tcPr>
            <w:tcW w:w="2011" w:type="dxa"/>
          </w:tcPr>
          <w:p>
            <w:pPr>
              <w:pStyle w:val="TableParagraph"/>
              <w:spacing w:line="183" w:lineRule="exact" w:before="17"/>
              <w:ind w:left="444" w:right="452"/>
              <w:jc w:val="center"/>
              <w:rPr>
                <w:sz w:val="16"/>
              </w:rPr>
            </w:pPr>
            <w:r>
              <w:rPr>
                <w:sz w:val="16"/>
              </w:rPr>
              <w:t>300 mg</w:t>
            </w:r>
          </w:p>
        </w:tc>
      </w:tr>
      <w:tr>
        <w:trPr>
          <w:trHeight w:val="220" w:hRule="atLeast"/>
        </w:trPr>
        <w:tc>
          <w:tcPr>
            <w:tcW w:w="3276" w:type="dxa"/>
          </w:tcPr>
          <w:p>
            <w:pPr>
              <w:pStyle w:val="TableParagraph"/>
              <w:spacing w:line="183" w:lineRule="exact" w:before="17"/>
              <w:ind w:left="107"/>
              <w:rPr>
                <w:sz w:val="16"/>
              </w:rPr>
            </w:pPr>
            <w:r>
              <w:rPr>
                <w:w w:val="95"/>
                <w:sz w:val="16"/>
              </w:rPr>
              <w:t>inhibidores de CYP2D6 y CYP3A4</w:t>
            </w:r>
          </w:p>
        </w:tc>
        <w:tc>
          <w:tcPr>
            <w:tcW w:w="2011" w:type="dxa"/>
          </w:tcPr>
          <w:p>
            <w:pPr>
              <w:pStyle w:val="TableParagraph"/>
              <w:spacing w:line="183" w:lineRule="exact" w:before="17"/>
              <w:ind w:left="444" w:right="452"/>
              <w:jc w:val="center"/>
              <w:rPr>
                <w:sz w:val="9"/>
              </w:rPr>
            </w:pPr>
            <w:r>
              <w:rPr>
                <w:sz w:val="16"/>
              </w:rPr>
              <w:t>200 mg</w:t>
            </w:r>
            <w:r>
              <w:rPr>
                <w:position w:val="5"/>
                <w:sz w:val="9"/>
              </w:rPr>
              <w:t>1</w:t>
            </w:r>
          </w:p>
        </w:tc>
      </w:tr>
      <w:tr>
        <w:trPr>
          <w:trHeight w:val="220" w:hRule="atLeast"/>
        </w:trPr>
        <w:tc>
          <w:tcPr>
            <w:tcW w:w="3276" w:type="dxa"/>
          </w:tcPr>
          <w:p>
            <w:pPr>
              <w:pStyle w:val="TableParagraph"/>
              <w:spacing w:line="183" w:lineRule="exact" w:before="17"/>
              <w:ind w:left="107"/>
              <w:rPr>
                <w:sz w:val="16"/>
              </w:rPr>
            </w:pPr>
            <w:r>
              <w:rPr>
                <w:w w:val="95"/>
                <w:sz w:val="16"/>
              </w:rPr>
              <w:t>inductores de CYP3A4</w:t>
            </w:r>
          </w:p>
        </w:tc>
        <w:tc>
          <w:tcPr>
            <w:tcW w:w="2011" w:type="dxa"/>
          </w:tcPr>
          <w:p>
            <w:pPr>
              <w:pStyle w:val="TableParagraph"/>
              <w:spacing w:line="183" w:lineRule="exact" w:before="17"/>
              <w:ind w:left="444" w:right="452"/>
              <w:jc w:val="center"/>
              <w:rPr>
                <w:sz w:val="16"/>
              </w:rPr>
            </w:pPr>
            <w:r>
              <w:rPr>
                <w:sz w:val="16"/>
              </w:rPr>
              <w:t>Evitar el uso</w:t>
            </w:r>
          </w:p>
        </w:tc>
      </w:tr>
      <w:tr>
        <w:trPr>
          <w:trHeight w:val="220" w:hRule="atLeast"/>
        </w:trPr>
        <w:tc>
          <w:tcPr>
            <w:tcW w:w="5287" w:type="dxa"/>
            <w:gridSpan w:val="2"/>
          </w:tcPr>
          <w:p>
            <w:pPr>
              <w:pStyle w:val="TableParagraph"/>
              <w:spacing w:line="183" w:lineRule="exact" w:before="17"/>
              <w:ind w:left="107"/>
              <w:rPr>
                <w:b/>
                <w:sz w:val="16"/>
              </w:rPr>
            </w:pPr>
            <w:r>
              <w:rPr>
                <w:b/>
                <w:w w:val="95"/>
                <w:sz w:val="16"/>
              </w:rPr>
              <w:t>Los pacientes que toman 300 mg de ABILIFY Mantenim</w:t>
            </w:r>
          </w:p>
        </w:tc>
      </w:tr>
      <w:tr>
        <w:trPr>
          <w:trHeight w:val="220" w:hRule="atLeast"/>
        </w:trPr>
        <w:tc>
          <w:tcPr>
            <w:tcW w:w="3276" w:type="dxa"/>
          </w:tcPr>
          <w:p>
            <w:pPr>
              <w:pStyle w:val="TableParagraph"/>
              <w:spacing w:line="183" w:lineRule="exact" w:before="17"/>
              <w:ind w:left="107"/>
              <w:rPr>
                <w:sz w:val="16"/>
              </w:rPr>
            </w:pPr>
            <w:r>
              <w:rPr>
                <w:w w:val="95"/>
                <w:sz w:val="16"/>
              </w:rPr>
              <w:t>inhibidores de CYP2D6 o CYP3A4 fuertes</w:t>
            </w:r>
          </w:p>
        </w:tc>
        <w:tc>
          <w:tcPr>
            <w:tcW w:w="2011" w:type="dxa"/>
          </w:tcPr>
          <w:p>
            <w:pPr>
              <w:pStyle w:val="TableParagraph"/>
              <w:spacing w:line="183" w:lineRule="exact" w:before="17"/>
              <w:ind w:left="444" w:right="452"/>
              <w:jc w:val="center"/>
              <w:rPr>
                <w:sz w:val="9"/>
              </w:rPr>
            </w:pPr>
            <w:r>
              <w:rPr>
                <w:sz w:val="16"/>
              </w:rPr>
              <w:t>200 mg</w:t>
            </w:r>
            <w:r>
              <w:rPr>
                <w:position w:val="5"/>
                <w:sz w:val="9"/>
              </w:rPr>
              <w:t>1</w:t>
            </w:r>
          </w:p>
        </w:tc>
      </w:tr>
      <w:tr>
        <w:trPr>
          <w:trHeight w:val="220" w:hRule="atLeast"/>
        </w:trPr>
        <w:tc>
          <w:tcPr>
            <w:tcW w:w="3276" w:type="dxa"/>
          </w:tcPr>
          <w:p>
            <w:pPr>
              <w:pStyle w:val="TableParagraph"/>
              <w:spacing w:line="183" w:lineRule="exact" w:before="17"/>
              <w:ind w:left="107"/>
              <w:rPr>
                <w:sz w:val="16"/>
              </w:rPr>
            </w:pPr>
            <w:r>
              <w:rPr>
                <w:w w:val="95"/>
                <w:sz w:val="16"/>
              </w:rPr>
              <w:t>inhibidores de CYP2D6 y CYP3A4</w:t>
            </w:r>
          </w:p>
        </w:tc>
        <w:tc>
          <w:tcPr>
            <w:tcW w:w="2011" w:type="dxa"/>
          </w:tcPr>
          <w:p>
            <w:pPr>
              <w:pStyle w:val="TableParagraph"/>
              <w:spacing w:line="183" w:lineRule="exact" w:before="17"/>
              <w:ind w:left="444" w:right="452"/>
              <w:jc w:val="center"/>
              <w:rPr>
                <w:sz w:val="9"/>
              </w:rPr>
            </w:pPr>
            <w:r>
              <w:rPr>
                <w:sz w:val="16"/>
              </w:rPr>
              <w:t>160 mg</w:t>
            </w:r>
            <w:r>
              <w:rPr>
                <w:position w:val="5"/>
                <w:sz w:val="9"/>
              </w:rPr>
              <w:t>1</w:t>
            </w:r>
          </w:p>
        </w:tc>
      </w:tr>
      <w:tr>
        <w:trPr>
          <w:trHeight w:val="220" w:hRule="atLeast"/>
        </w:trPr>
        <w:tc>
          <w:tcPr>
            <w:tcW w:w="3276" w:type="dxa"/>
          </w:tcPr>
          <w:p>
            <w:pPr>
              <w:pStyle w:val="TableParagraph"/>
              <w:spacing w:line="183" w:lineRule="exact" w:before="17"/>
              <w:ind w:left="107"/>
              <w:rPr>
                <w:sz w:val="16"/>
              </w:rPr>
            </w:pPr>
            <w:r>
              <w:rPr>
                <w:w w:val="95"/>
                <w:sz w:val="16"/>
              </w:rPr>
              <w:t>inductores de CYP3A4</w:t>
            </w:r>
          </w:p>
        </w:tc>
        <w:tc>
          <w:tcPr>
            <w:tcW w:w="2011" w:type="dxa"/>
          </w:tcPr>
          <w:p>
            <w:pPr>
              <w:pStyle w:val="TableParagraph"/>
              <w:spacing w:line="183" w:lineRule="exact" w:before="17"/>
              <w:ind w:left="444" w:right="452"/>
              <w:jc w:val="center"/>
              <w:rPr>
                <w:sz w:val="16"/>
              </w:rPr>
            </w:pPr>
            <w:r>
              <w:rPr>
                <w:sz w:val="16"/>
              </w:rPr>
              <w:t>Evitar el uso</w:t>
            </w:r>
          </w:p>
        </w:tc>
      </w:tr>
    </w:tbl>
    <w:p>
      <w:pPr>
        <w:pStyle w:val="BodyText"/>
        <w:spacing w:line="216" w:lineRule="auto" w:before="102"/>
        <w:ind w:left="229" w:right="718" w:hanging="90"/>
        <w:jc w:val="both"/>
      </w:pPr>
      <w:r>
        <w:rPr>
          <w:w w:val="95"/>
          <w:position w:val="5"/>
          <w:sz w:val="9"/>
        </w:rPr>
        <w:t>1 </w:t>
      </w:r>
      <w:r>
        <w:rPr>
          <w:w w:val="95"/>
        </w:rPr>
        <w:t>se obtienen 200 mg y ajustes de la dosificación de 160 mg solamente usando la 300-mg o </w:t>
      </w:r>
      <w:r>
        <w:rPr/>
        <w:t>viales de 400 mg de concentración.</w:t>
      </w:r>
    </w:p>
    <w:p>
      <w:pPr>
        <w:spacing w:line="216" w:lineRule="auto" w:before="147"/>
        <w:ind w:left="140" w:right="721" w:firstLine="0"/>
        <w:jc w:val="both"/>
        <w:rPr>
          <w:sz w:val="16"/>
        </w:rPr>
      </w:pPr>
      <w:r>
        <w:rPr>
          <w:spacing w:val="-3"/>
          <w:w w:val="95"/>
          <w:sz w:val="16"/>
        </w:rPr>
        <w:t>ABILIFY Mantenim viene </w:t>
      </w:r>
      <w:r>
        <w:rPr>
          <w:w w:val="95"/>
          <w:sz w:val="16"/>
        </w:rPr>
        <w:t>en dos tipos de kits. Vea las instrucciones para la inyección / procedimientos de reconstitución / eliminación para 1) precargada de doble cámara de la jeringa [ver Dosis y</w:t>
      </w:r>
      <w:r>
        <w:rPr>
          <w:i/>
          <w:spacing w:val="-3"/>
          <w:sz w:val="16"/>
        </w:rPr>
        <w:t>Administración (2.5)]</w:t>
      </w:r>
      <w:r>
        <w:rPr>
          <w:spacing w:val="-3"/>
          <w:sz w:val="16"/>
        </w:rPr>
        <w:t>, </w:t>
      </w:r>
      <w:r>
        <w:rPr>
          <w:sz w:val="16"/>
        </w:rPr>
        <w:t>y 2) Viales [ver Dosificación y administración (2.6)].</w:t>
      </w:r>
    </w:p>
    <w:p>
      <w:pPr>
        <w:pStyle w:val="Heading3"/>
        <w:numPr>
          <w:ilvl w:val="1"/>
          <w:numId w:val="11"/>
        </w:numPr>
        <w:tabs>
          <w:tab w:pos="441" w:val="left" w:leader="none"/>
        </w:tabs>
        <w:spacing w:line="182" w:lineRule="exact" w:before="40" w:after="0"/>
        <w:ind w:left="440" w:right="0" w:hanging="300"/>
        <w:jc w:val="left"/>
      </w:pPr>
      <w:r>
        <w:rPr>
          <w:w w:val="95"/>
        </w:rPr>
        <w:t>Aripiprazol diferentes formulaciones y kits</w:t>
      </w:r>
    </w:p>
    <w:p>
      <w:pPr>
        <w:pStyle w:val="BodyText"/>
        <w:spacing w:line="216" w:lineRule="auto" w:before="13"/>
        <w:ind w:left="140" w:right="717"/>
        <w:jc w:val="both"/>
      </w:pPr>
      <w:r>
        <w:rPr>
          <w:w w:val="90"/>
        </w:rPr>
        <w:t>Hay dos formulaciones de aripiprazol para uso intramuscular con diferentes dosis, frecuencias de dosificación, y las indicaciones. ABILIFY Mantenim es una formulación de aripiprazol de acción prolongada con intervalos de dosificación de 4 semanas indicados para el tratamiento de la esquizofrenia y el mantenimiento monoterapia de trastorno bipolar I en adultos. En contraste, la inyección aripiprazol (9,75 mg por vial) es una formulación de acción corta se indica para la agitación en pacientes con esquizofrenia o manía. No sustituir estos productos. Consulte la información de prescripción para la inyección aripiprazol para obtener más información acerca de</w:t>
      </w:r>
      <w:r>
        <w:rPr/>
        <w:t>inyección de aripiprazol.</w:t>
      </w:r>
    </w:p>
    <w:p>
      <w:pPr>
        <w:pStyle w:val="BodyText"/>
        <w:spacing w:line="218" w:lineRule="auto" w:before="51"/>
        <w:ind w:left="140" w:right="719"/>
        <w:jc w:val="both"/>
      </w:pPr>
      <w:r>
        <w:rPr>
          <w:w w:val="90"/>
        </w:rPr>
        <w:t>ABILIFY Mantenim viene en dos tipos de kits. Ver instrucciones para inyección / procedimientos de reconstitución / eliminación para 1) precargada de doble cámara de la jeringuilla disponible en 300 mg o 400 mg jeringas fuerza [véase Dosificación y administración (2.5)], y</w:t>
      </w:r>
    </w:p>
    <w:p>
      <w:pPr>
        <w:spacing w:line="216" w:lineRule="auto" w:before="4"/>
        <w:ind w:left="140" w:right="718" w:firstLine="0"/>
        <w:jc w:val="both"/>
        <w:rPr>
          <w:sz w:val="16"/>
        </w:rPr>
      </w:pPr>
      <w:r>
        <w:rPr>
          <w:w w:val="95"/>
          <w:sz w:val="16"/>
        </w:rPr>
        <w:t>2) viales de un solo uso disponibles en 300-mg o viales de 400 mg de concentración [véase Dosificación y </w:t>
      </w:r>
      <w:r>
        <w:rPr>
          <w:i/>
          <w:sz w:val="16"/>
        </w:rPr>
        <w:t>Administración (2.6)]</w:t>
      </w:r>
      <w:r>
        <w:rPr>
          <w:sz w:val="16"/>
        </w:rPr>
        <w:t>.</w:t>
      </w:r>
    </w:p>
    <w:p>
      <w:pPr>
        <w:pStyle w:val="BodyText"/>
        <w:spacing w:line="216" w:lineRule="auto" w:before="57"/>
        <w:ind w:left="140" w:right="720"/>
        <w:jc w:val="both"/>
      </w:pPr>
      <w:r>
        <w:rPr>
          <w:w w:val="95"/>
        </w:rPr>
        <w:t>Los ajustes en la dosis de 200 mg y 160 mg se obtienen solamente mediante el uso de la 300-mg </w:t>
      </w:r>
      <w:r>
        <w:rPr/>
        <w:t>o viales de fuerza 400 mg.</w:t>
      </w:r>
    </w:p>
    <w:p>
      <w:pPr>
        <w:pStyle w:val="Heading3"/>
        <w:numPr>
          <w:ilvl w:val="1"/>
          <w:numId w:val="11"/>
        </w:numPr>
        <w:tabs>
          <w:tab w:pos="441" w:val="left" w:leader="none"/>
        </w:tabs>
        <w:spacing w:line="220" w:lineRule="atLeast" w:before="5" w:after="0"/>
        <w:ind w:left="140" w:right="718" w:firstLine="0"/>
        <w:jc w:val="both"/>
      </w:pPr>
      <w:r>
        <w:rPr>
          <w:w w:val="85"/>
        </w:rPr>
        <w:t>Precargada de doble cámara de la jeringa: preparación y administración Instrucciones de preparación antes de la reconstitución</w:t>
      </w:r>
    </w:p>
    <w:p>
      <w:pPr>
        <w:pStyle w:val="BodyText"/>
        <w:spacing w:line="216" w:lineRule="auto" w:before="13"/>
        <w:ind w:left="140" w:right="717"/>
        <w:jc w:val="both"/>
      </w:pPr>
      <w:r>
        <w:rPr>
          <w:w w:val="95"/>
        </w:rPr>
        <w:t>Para deltoides intramuscular profunda o inyección en el glúteo por profesionales sanitarios. No administrar por cualquier otra vía. Inyectar contenido de la jeringa completos inmediatamente</w:t>
      </w:r>
      <w:r>
        <w:rPr/>
        <w:t>después de la reconstitución. Administrar una vez al mes.</w:t>
      </w:r>
    </w:p>
    <w:p>
      <w:pPr>
        <w:pStyle w:val="BodyText"/>
        <w:spacing w:before="12"/>
        <w:ind w:left="140"/>
      </w:pPr>
      <w:r>
        <w:rPr/>
        <w:t>Trace y confirman que los componentes que figuran a continuación se proporcionan en el kit:</w:t>
      </w:r>
    </w:p>
    <w:p>
      <w:pPr>
        <w:pStyle w:val="ListParagraph"/>
        <w:numPr>
          <w:ilvl w:val="0"/>
          <w:numId w:val="2"/>
        </w:numPr>
        <w:tabs>
          <w:tab w:pos="441" w:val="left" w:leader="none"/>
        </w:tabs>
        <w:spacing w:line="216" w:lineRule="auto" w:before="25" w:after="0"/>
        <w:ind w:left="440" w:right="718" w:hanging="300"/>
        <w:jc w:val="both"/>
        <w:rPr>
          <w:sz w:val="16"/>
        </w:rPr>
      </w:pPr>
      <w:r>
        <w:rPr>
          <w:w w:val="90"/>
          <w:sz w:val="16"/>
        </w:rPr>
        <w:t>Una ABILIFY Mantenim (aripiprazol) jeringa de doble cámara precargada (400 mg o 300 mg según sea apropiado) para suspensión inyectable de liberación prolongada que contienen </w:t>
      </w:r>
      <w:r>
        <w:rPr>
          <w:sz w:val="16"/>
        </w:rPr>
        <w:t>polvo liofilizado y agua estéril para inyección</w:t>
      </w:r>
    </w:p>
    <w:p>
      <w:pPr>
        <w:pStyle w:val="ListParagraph"/>
        <w:numPr>
          <w:ilvl w:val="0"/>
          <w:numId w:val="2"/>
        </w:numPr>
        <w:tabs>
          <w:tab w:pos="441" w:val="left" w:leader="none"/>
        </w:tabs>
        <w:spacing w:line="216" w:lineRule="auto" w:before="27" w:after="0"/>
        <w:ind w:left="440" w:right="717" w:hanging="300"/>
        <w:jc w:val="both"/>
        <w:rPr>
          <w:sz w:val="16"/>
        </w:rPr>
      </w:pPr>
      <w:r>
        <w:rPr>
          <w:w w:val="90"/>
          <w:sz w:val="16"/>
        </w:rPr>
        <w:t>Uno de calibre 23, de 1 pulgada (25 mm) de aguja de seguridad hipodérmica con protección de la aguja </w:t>
      </w:r>
      <w:r>
        <w:rPr>
          <w:sz w:val="16"/>
        </w:rPr>
        <w:t>dispositivo para la administración deltoides en los pacientes no obesos</w:t>
      </w:r>
    </w:p>
    <w:p>
      <w:pPr>
        <w:pStyle w:val="ListParagraph"/>
        <w:numPr>
          <w:ilvl w:val="0"/>
          <w:numId w:val="2"/>
        </w:numPr>
        <w:tabs>
          <w:tab w:pos="441" w:val="left" w:leader="none"/>
        </w:tabs>
        <w:spacing w:line="216" w:lineRule="auto" w:before="27" w:after="0"/>
        <w:ind w:left="440" w:right="718" w:hanging="300"/>
        <w:jc w:val="both"/>
        <w:rPr>
          <w:sz w:val="16"/>
        </w:rPr>
      </w:pPr>
      <w:r>
        <w:rPr>
          <w:sz w:val="16"/>
        </w:rPr>
        <w:t>Uno de calibre 22, de 1,5 pulgadas (38 mm) de aguja de seguridad hipodérmica con un dispositivo de protección de la aguja para la administración de los glúteos en los pacientes no obesos o administración deltoides en pacientes obesos</w:t>
      </w:r>
    </w:p>
    <w:p>
      <w:pPr>
        <w:pStyle w:val="ListParagraph"/>
        <w:numPr>
          <w:ilvl w:val="0"/>
          <w:numId w:val="2"/>
        </w:numPr>
        <w:tabs>
          <w:tab w:pos="441" w:val="left" w:leader="none"/>
        </w:tabs>
        <w:spacing w:line="216" w:lineRule="auto" w:before="27" w:after="0"/>
        <w:ind w:left="440" w:right="717" w:hanging="300"/>
        <w:jc w:val="both"/>
        <w:rPr>
          <w:sz w:val="16"/>
        </w:rPr>
      </w:pPr>
      <w:r>
        <w:rPr>
          <w:w w:val="90"/>
          <w:sz w:val="16"/>
        </w:rPr>
        <w:t>Uno de calibre 21, de 2 pulgadas (51 mm) de aguja de seguridad hipodérmica con protección de la aguja </w:t>
      </w:r>
      <w:r>
        <w:rPr>
          <w:sz w:val="16"/>
        </w:rPr>
        <w:t>dispositivo para la administración de los glúteos en pacientes obesos</w:t>
      </w:r>
    </w:p>
    <w:p>
      <w:pPr>
        <w:pStyle w:val="Heading3"/>
        <w:spacing w:line="220" w:lineRule="atLeast" w:before="48"/>
        <w:ind w:right="708"/>
      </w:pPr>
      <w:r>
        <w:rPr>
          <w:w w:val="85"/>
        </w:rPr>
        <w:t>La reconstitución de polvo liofilizado en precargada de doble cámara de la jeringa Reconstituir a temperatura ambiente.</w:t>
      </w:r>
    </w:p>
    <w:p>
      <w:pPr>
        <w:pStyle w:val="ListParagraph"/>
        <w:numPr>
          <w:ilvl w:val="0"/>
          <w:numId w:val="12"/>
        </w:numPr>
        <w:tabs>
          <w:tab w:pos="441" w:val="left" w:leader="none"/>
        </w:tabs>
        <w:spacing w:line="218" w:lineRule="auto" w:before="12" w:after="0"/>
        <w:ind w:left="440" w:right="717" w:hanging="300"/>
        <w:jc w:val="both"/>
        <w:rPr>
          <w:sz w:val="16"/>
        </w:rPr>
      </w:pPr>
      <w:r>
        <w:rPr>
          <w:w w:val="95"/>
          <w:sz w:val="16"/>
        </w:rPr>
        <w:t>Empuje vástago de émbolo ligeramente para enganchar roscas. Y luego, girar la varilla del émbolo hasta que la varilla deja de girar para liberar diluyente. Después de vástago de émbolo es en la parada completa,</w:t>
      </w:r>
      <w:r>
        <w:rPr>
          <w:sz w:val="16"/>
        </w:rPr>
        <w:t>tapón media será en la línea de indicador (Ver Figura 1).</w:t>
      </w:r>
    </w:p>
    <w:p>
      <w:pPr>
        <w:spacing w:after="0" w:line="218" w:lineRule="auto"/>
        <w:jc w:val="both"/>
        <w:rPr>
          <w:sz w:val="16"/>
        </w:rPr>
        <w:sectPr>
          <w:type w:val="continuous"/>
          <w:pgSz w:w="12240" w:h="15840"/>
          <w:pgMar w:top="600" w:bottom="280" w:left="580" w:right="0"/>
          <w:cols w:num="2" w:equalWidth="0">
            <w:col w:w="5461" w:space="59"/>
            <w:col w:w="6140"/>
          </w:cols>
        </w:sectPr>
      </w:pPr>
    </w:p>
    <w:p>
      <w:pPr>
        <w:pStyle w:val="BodyText"/>
        <w:spacing w:before="1" w:after="1"/>
      </w:pPr>
    </w:p>
    <w:p>
      <w:pPr>
        <w:pStyle w:val="BodyText"/>
        <w:ind w:left="1564"/>
        <w:rPr>
          <w:sz w:val="20"/>
        </w:rPr>
      </w:pPr>
      <w:r>
        <w:rPr>
          <w:sz w:val="20"/>
        </w:rPr>
        <w:drawing>
          <wp:inline distT="0" distB="0" distL="0" distR="0">
            <wp:extent cx="1529564" cy="154876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1529564" cy="1548765"/>
                    </a:xfrm>
                    <a:prstGeom prst="rect">
                      <a:avLst/>
                    </a:prstGeom>
                  </pic:spPr>
                </pic:pic>
              </a:graphicData>
            </a:graphic>
          </wp:inline>
        </w:drawing>
      </w:r>
      <w:r>
        <w:rPr>
          <w:sz w:val="20"/>
        </w:rPr>
      </w:r>
    </w:p>
    <w:p>
      <w:pPr>
        <w:pStyle w:val="Heading3"/>
        <w:spacing w:before="95"/>
        <w:ind w:left="2451" w:right="2352"/>
        <w:jc w:val="center"/>
      </w:pPr>
      <w:r>
        <w:rPr/>
        <w:t>Figura 1</w:t>
      </w:r>
    </w:p>
    <w:p>
      <w:pPr>
        <w:pStyle w:val="ListParagraph"/>
        <w:numPr>
          <w:ilvl w:val="0"/>
          <w:numId w:val="12"/>
        </w:numPr>
        <w:tabs>
          <w:tab w:pos="440" w:val="left" w:leader="none"/>
        </w:tabs>
        <w:spacing w:line="216" w:lineRule="auto" w:before="39" w:after="0"/>
        <w:ind w:left="439" w:right="41" w:hanging="300"/>
        <w:jc w:val="left"/>
        <w:rPr>
          <w:sz w:val="16"/>
        </w:rPr>
      </w:pPr>
      <w:r>
        <w:rPr>
          <w:spacing w:val="-3"/>
          <w:sz w:val="16"/>
        </w:rPr>
        <w:t>agite verticalmente </w:t>
      </w:r>
      <w:r>
        <w:rPr>
          <w:sz w:val="16"/>
        </w:rPr>
        <w:t>la jeringa vigorosamente durante 20 segundos hasta que la droga es uniformemente de color blanco lechoso (Ver Figura 2).</w:t>
      </w:r>
    </w:p>
    <w:p>
      <w:pPr>
        <w:pStyle w:val="BodyText"/>
        <w:spacing w:before="5"/>
        <w:rPr>
          <w:sz w:val="4"/>
        </w:rPr>
      </w:pPr>
    </w:p>
    <w:p>
      <w:pPr>
        <w:pStyle w:val="BodyText"/>
        <w:ind w:left="973"/>
        <w:rPr>
          <w:sz w:val="20"/>
        </w:rPr>
      </w:pPr>
      <w:r>
        <w:rPr>
          <w:sz w:val="20"/>
        </w:rPr>
        <w:drawing>
          <wp:inline distT="0" distB="0" distL="0" distR="0">
            <wp:extent cx="2245073" cy="125730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2245073" cy="1257300"/>
                    </a:xfrm>
                    <a:prstGeom prst="rect">
                      <a:avLst/>
                    </a:prstGeom>
                  </pic:spPr>
                </pic:pic>
              </a:graphicData>
            </a:graphic>
          </wp:inline>
        </w:drawing>
      </w:r>
      <w:r>
        <w:rPr>
          <w:sz w:val="20"/>
        </w:rPr>
      </w:r>
    </w:p>
    <w:p>
      <w:pPr>
        <w:pStyle w:val="Heading3"/>
        <w:spacing w:before="84"/>
        <w:ind w:left="2451" w:right="2352"/>
        <w:jc w:val="center"/>
      </w:pPr>
      <w:r>
        <w:rPr/>
        <w:t>Figura 2</w:t>
      </w:r>
    </w:p>
    <w:p>
      <w:pPr>
        <w:pStyle w:val="ListParagraph"/>
        <w:numPr>
          <w:ilvl w:val="0"/>
          <w:numId w:val="12"/>
        </w:numPr>
        <w:tabs>
          <w:tab w:pos="440" w:val="left" w:leader="none"/>
        </w:tabs>
        <w:spacing w:line="216" w:lineRule="auto" w:before="39" w:after="0"/>
        <w:ind w:left="439" w:right="38" w:hanging="300"/>
        <w:jc w:val="both"/>
        <w:rPr>
          <w:sz w:val="16"/>
        </w:rPr>
      </w:pPr>
      <w:r>
        <w:rPr>
          <w:w w:val="95"/>
          <w:sz w:val="16"/>
        </w:rPr>
        <w:t>inspeccionar visualmente la jeringa para partículas y decoloración antes de la administración. La suspensión reconstituida debe ABILIFY Mantenim</w:t>
      </w:r>
      <w:r>
        <w:rPr>
          <w:sz w:val="16"/>
        </w:rPr>
        <w:t>parece ser un uniforme, suspensión homogénea que es opaca y de color blanco lechoso en color.</w:t>
      </w:r>
    </w:p>
    <w:p>
      <w:pPr>
        <w:pStyle w:val="Heading3"/>
        <w:spacing w:before="69"/>
        <w:ind w:left="139"/>
      </w:pPr>
      <w:r>
        <w:rPr>
          <w:w w:val="95"/>
        </w:rPr>
        <w:t>Procedimiento de Inyección</w:t>
      </w:r>
    </w:p>
    <w:p>
      <w:pPr>
        <w:pStyle w:val="Heading4"/>
        <w:spacing w:line="216" w:lineRule="auto" w:before="54"/>
        <w:ind w:right="2"/>
      </w:pPr>
      <w:r>
        <w:rPr>
          <w:i/>
          <w:w w:val="90"/>
        </w:rPr>
        <w:t>Usar técnicas asépticas apropiadas durante todo el procedimiento de inyección. Por profunda</w:t>
      </w:r>
      <w:r>
        <w:rPr>
          <w:w w:val="95"/>
        </w:rPr>
        <w:t>inyección intramuscular solamente.</w:t>
      </w:r>
    </w:p>
    <w:p>
      <w:pPr>
        <w:pStyle w:val="ListParagraph"/>
        <w:numPr>
          <w:ilvl w:val="0"/>
          <w:numId w:val="13"/>
        </w:numPr>
        <w:tabs>
          <w:tab w:pos="440" w:val="left" w:leader="none"/>
        </w:tabs>
        <w:spacing w:line="240" w:lineRule="auto" w:before="3" w:after="0"/>
        <w:ind w:left="439" w:right="0" w:hanging="300"/>
        <w:jc w:val="left"/>
        <w:rPr>
          <w:sz w:val="16"/>
        </w:rPr>
      </w:pPr>
      <w:r>
        <w:rPr>
          <w:spacing w:val="-3"/>
          <w:sz w:val="16"/>
        </w:rPr>
        <w:t>Giro </w:t>
      </w:r>
      <w:r>
        <w:rPr>
          <w:sz w:val="16"/>
        </w:rPr>
        <w:t>y salga de Over-tapa y Tip-cap (Ver Figura 3).</w:t>
      </w:r>
    </w:p>
    <w:p>
      <w:pPr>
        <w:pStyle w:val="BodyText"/>
        <w:spacing w:before="1"/>
        <w:rPr>
          <w:sz w:val="8"/>
        </w:rPr>
      </w:pPr>
    </w:p>
    <w:p>
      <w:pPr>
        <w:pStyle w:val="BodyText"/>
        <w:ind w:left="1760"/>
        <w:rPr>
          <w:sz w:val="20"/>
        </w:rPr>
      </w:pPr>
      <w:r>
        <w:rPr>
          <w:sz w:val="20"/>
        </w:rPr>
        <w:drawing>
          <wp:inline distT="0" distB="0" distL="0" distR="0">
            <wp:extent cx="1379366" cy="1129284"/>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1379366" cy="1129284"/>
                    </a:xfrm>
                    <a:prstGeom prst="rect">
                      <a:avLst/>
                    </a:prstGeom>
                  </pic:spPr>
                </pic:pic>
              </a:graphicData>
            </a:graphic>
          </wp:inline>
        </w:drawing>
      </w:r>
      <w:r>
        <w:rPr>
          <w:sz w:val="20"/>
        </w:rPr>
      </w:r>
    </w:p>
    <w:p>
      <w:pPr>
        <w:pStyle w:val="Heading3"/>
        <w:spacing w:before="59"/>
        <w:ind w:left="2451" w:right="2352"/>
        <w:jc w:val="center"/>
      </w:pPr>
      <w:r>
        <w:rPr/>
        <w:t>figura 3</w:t>
      </w:r>
    </w:p>
    <w:p>
      <w:pPr>
        <w:pStyle w:val="ListParagraph"/>
        <w:numPr>
          <w:ilvl w:val="0"/>
          <w:numId w:val="13"/>
        </w:numPr>
        <w:tabs>
          <w:tab w:pos="440" w:val="left" w:leader="none"/>
        </w:tabs>
        <w:spacing w:line="240" w:lineRule="auto" w:before="32" w:after="0"/>
        <w:ind w:left="439" w:right="0" w:hanging="300"/>
        <w:jc w:val="left"/>
        <w:rPr>
          <w:sz w:val="16"/>
        </w:rPr>
      </w:pPr>
      <w:r>
        <w:rPr/>
        <w:drawing>
          <wp:anchor distT="0" distB="0" distL="0" distR="0" allowOverlap="1" layoutInCell="1" locked="0" behindDoc="0" simplePos="0" relativeHeight="1120">
            <wp:simplePos x="0" y="0"/>
            <wp:positionH relativeFrom="page">
              <wp:posOffset>1022869</wp:posOffset>
            </wp:positionH>
            <wp:positionV relativeFrom="paragraph">
              <wp:posOffset>212616</wp:posOffset>
            </wp:positionV>
            <wp:extent cx="2317069" cy="997190"/>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2" cstate="print"/>
                    <a:stretch>
                      <a:fillRect/>
                    </a:stretch>
                  </pic:blipFill>
                  <pic:spPr>
                    <a:xfrm>
                      <a:off x="0" y="0"/>
                      <a:ext cx="2317069" cy="997190"/>
                    </a:xfrm>
                    <a:prstGeom prst="rect">
                      <a:avLst/>
                    </a:prstGeom>
                  </pic:spPr>
                </pic:pic>
              </a:graphicData>
            </a:graphic>
          </wp:anchor>
        </w:drawing>
      </w:r>
      <w:r>
        <w:rPr>
          <w:sz w:val="16"/>
        </w:rPr>
        <w:t>Seleccione aguja apropiado (Véase la Figura 4).</w:t>
      </w:r>
    </w:p>
    <w:p>
      <w:pPr>
        <w:pStyle w:val="BodyText"/>
        <w:spacing w:before="3" w:after="39"/>
        <w:rPr>
          <w:sz w:val="15"/>
        </w:rPr>
      </w:pPr>
      <w:r>
        <w:rPr/>
        <w:br w:type="column"/>
      </w:r>
      <w:r>
        <w:rPr>
          <w:sz w:val="15"/>
        </w:rPr>
      </w:r>
    </w:p>
    <w:p>
      <w:pPr>
        <w:pStyle w:val="BodyText"/>
        <w:ind w:left="1773"/>
        <w:rPr>
          <w:sz w:val="20"/>
        </w:rPr>
      </w:pPr>
      <w:r>
        <w:rPr>
          <w:sz w:val="20"/>
        </w:rPr>
        <w:drawing>
          <wp:inline distT="0" distB="0" distL="0" distR="0">
            <wp:extent cx="1216811" cy="1171194"/>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1216811" cy="1171194"/>
                    </a:xfrm>
                    <a:prstGeom prst="rect">
                      <a:avLst/>
                    </a:prstGeom>
                  </pic:spPr>
                </pic:pic>
              </a:graphicData>
            </a:graphic>
          </wp:inline>
        </w:drawing>
      </w:r>
      <w:r>
        <w:rPr>
          <w:sz w:val="20"/>
        </w:rPr>
      </w:r>
    </w:p>
    <w:p>
      <w:pPr>
        <w:pStyle w:val="Heading3"/>
        <w:spacing w:before="37"/>
        <w:ind w:left="2511"/>
      </w:pPr>
      <w:r>
        <w:rPr/>
        <w:t>Figura 5</w:t>
      </w:r>
    </w:p>
    <w:p>
      <w:pPr>
        <w:pStyle w:val="ListParagraph"/>
        <w:numPr>
          <w:ilvl w:val="0"/>
          <w:numId w:val="14"/>
        </w:numPr>
        <w:tabs>
          <w:tab w:pos="440" w:val="left" w:leader="none"/>
        </w:tabs>
        <w:spacing w:line="240" w:lineRule="auto" w:before="10" w:after="0"/>
        <w:ind w:left="439" w:right="0" w:hanging="300"/>
        <w:jc w:val="left"/>
        <w:rPr>
          <w:sz w:val="16"/>
        </w:rPr>
      </w:pPr>
      <w:r>
        <w:rPr>
          <w:w w:val="95"/>
          <w:sz w:val="16"/>
        </w:rPr>
        <w:t>A continuación, tire de la aguja-cap hacia arriba (véase la figura 6).</w:t>
      </w:r>
    </w:p>
    <w:p>
      <w:pPr>
        <w:pStyle w:val="BodyText"/>
        <w:spacing w:before="8"/>
        <w:rPr>
          <w:sz w:val="4"/>
        </w:rPr>
      </w:pPr>
    </w:p>
    <w:p>
      <w:pPr>
        <w:pStyle w:val="BodyText"/>
        <w:ind w:left="1393"/>
        <w:rPr>
          <w:sz w:val="20"/>
        </w:rPr>
      </w:pPr>
      <w:r>
        <w:rPr>
          <w:sz w:val="20"/>
        </w:rPr>
        <w:drawing>
          <wp:inline distT="0" distB="0" distL="0" distR="0">
            <wp:extent cx="1221022" cy="1243583"/>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4" cstate="print"/>
                    <a:stretch>
                      <a:fillRect/>
                    </a:stretch>
                  </pic:blipFill>
                  <pic:spPr>
                    <a:xfrm>
                      <a:off x="0" y="0"/>
                      <a:ext cx="1221022" cy="1243583"/>
                    </a:xfrm>
                    <a:prstGeom prst="rect">
                      <a:avLst/>
                    </a:prstGeom>
                  </pic:spPr>
                </pic:pic>
              </a:graphicData>
            </a:graphic>
          </wp:inline>
        </w:drawing>
      </w:r>
      <w:r>
        <w:rPr>
          <w:sz w:val="20"/>
        </w:rPr>
      </w:r>
    </w:p>
    <w:p>
      <w:pPr>
        <w:pStyle w:val="Heading3"/>
        <w:spacing w:before="36"/>
        <w:ind w:left="2511"/>
      </w:pPr>
      <w:r>
        <w:rPr>
          <w:w w:val="90"/>
        </w:rPr>
        <w:t>Figura 6</w:t>
      </w:r>
    </w:p>
    <w:p>
      <w:pPr>
        <w:pStyle w:val="ListParagraph"/>
        <w:numPr>
          <w:ilvl w:val="0"/>
          <w:numId w:val="14"/>
        </w:numPr>
        <w:tabs>
          <w:tab w:pos="440" w:val="left" w:leader="none"/>
        </w:tabs>
        <w:spacing w:line="218" w:lineRule="auto" w:before="67" w:after="0"/>
        <w:ind w:left="439" w:right="717" w:hanging="300"/>
        <w:jc w:val="both"/>
        <w:rPr>
          <w:sz w:val="16"/>
        </w:rPr>
      </w:pPr>
      <w:r>
        <w:rPr>
          <w:w w:val="85"/>
          <w:sz w:val="16"/>
        </w:rPr>
        <w:t>Mantenga la jeringa en posición vertical y ADVANCE vástago de émbolo lentamente para expulsar el aire. Expulsar el aire hasta que la suspensión llena base de la aguja. Si no es posible avanzar vástago del émbolo para expulsar el aire, compruebe que la varilla del émbolo se gira a una parada completa</w:t>
      </w:r>
      <w:r>
        <w:rPr>
          <w:sz w:val="16"/>
        </w:rPr>
        <w:t>(Ver Figura 7).</w:t>
      </w:r>
    </w:p>
    <w:p>
      <w:pPr>
        <w:pStyle w:val="BodyText"/>
        <w:spacing w:before="9"/>
        <w:rPr>
          <w:sz w:val="4"/>
        </w:rPr>
      </w:pPr>
    </w:p>
    <w:p>
      <w:pPr>
        <w:pStyle w:val="BodyText"/>
        <w:ind w:left="1137"/>
        <w:rPr>
          <w:sz w:val="20"/>
        </w:rPr>
      </w:pPr>
      <w:r>
        <w:rPr>
          <w:sz w:val="20"/>
        </w:rPr>
        <w:drawing>
          <wp:inline distT="0" distB="0" distL="0" distR="0">
            <wp:extent cx="2063170" cy="1050036"/>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5" cstate="print"/>
                    <a:stretch>
                      <a:fillRect/>
                    </a:stretch>
                  </pic:blipFill>
                  <pic:spPr>
                    <a:xfrm>
                      <a:off x="0" y="0"/>
                      <a:ext cx="2063170" cy="1050036"/>
                    </a:xfrm>
                    <a:prstGeom prst="rect">
                      <a:avLst/>
                    </a:prstGeom>
                  </pic:spPr>
                </pic:pic>
              </a:graphicData>
            </a:graphic>
          </wp:inline>
        </w:drawing>
      </w:r>
      <w:r>
        <w:rPr>
          <w:sz w:val="20"/>
        </w:rPr>
      </w:r>
    </w:p>
    <w:p>
      <w:pPr>
        <w:pStyle w:val="Heading3"/>
        <w:spacing w:before="79"/>
        <w:ind w:left="2511"/>
      </w:pPr>
      <w:r>
        <w:rPr>
          <w:w w:val="90"/>
        </w:rPr>
        <w:t>Figura 7</w:t>
      </w:r>
    </w:p>
    <w:p>
      <w:pPr>
        <w:pStyle w:val="ListParagraph"/>
        <w:numPr>
          <w:ilvl w:val="0"/>
          <w:numId w:val="14"/>
        </w:numPr>
        <w:tabs>
          <w:tab w:pos="440" w:val="left" w:leader="none"/>
        </w:tabs>
        <w:spacing w:line="213" w:lineRule="auto" w:before="48" w:after="0"/>
        <w:ind w:left="439" w:right="718" w:hanging="300"/>
        <w:jc w:val="both"/>
        <w:rPr>
          <w:sz w:val="16"/>
        </w:rPr>
      </w:pPr>
      <w:r>
        <w:rPr>
          <w:b/>
          <w:w w:val="90"/>
          <w:sz w:val="16"/>
        </w:rPr>
        <w:t>Se inyecta lentamente en el deltoides o en el glúteo. </w:t>
      </w:r>
      <w:r>
        <w:rPr>
          <w:w w:val="90"/>
          <w:sz w:val="16"/>
        </w:rPr>
        <w:t>No masajee el sitio de la inyección.</w:t>
      </w:r>
    </w:p>
    <w:p>
      <w:pPr>
        <w:pStyle w:val="Heading3"/>
        <w:spacing w:before="41"/>
        <w:ind w:left="139"/>
      </w:pPr>
      <w:r>
        <w:rPr>
          <w:w w:val="95"/>
        </w:rPr>
        <w:t>Procedimiento de eliminación</w:t>
      </w:r>
    </w:p>
    <w:p>
      <w:pPr>
        <w:pStyle w:val="ListParagraph"/>
        <w:numPr>
          <w:ilvl w:val="0"/>
          <w:numId w:val="15"/>
        </w:numPr>
        <w:tabs>
          <w:tab w:pos="440" w:val="left" w:leader="none"/>
        </w:tabs>
        <w:spacing w:line="213" w:lineRule="auto" w:before="26" w:after="0"/>
        <w:ind w:left="439" w:right="718" w:hanging="300"/>
        <w:jc w:val="both"/>
        <w:rPr>
          <w:b/>
          <w:sz w:val="16"/>
        </w:rPr>
      </w:pPr>
      <w:r>
        <w:rPr/>
        <w:drawing>
          <wp:anchor distT="0" distB="0" distL="0" distR="0" allowOverlap="1" layoutInCell="1" locked="0" behindDoc="0" simplePos="0" relativeHeight="1144">
            <wp:simplePos x="0" y="0"/>
            <wp:positionH relativeFrom="page">
              <wp:posOffset>4466166</wp:posOffset>
            </wp:positionH>
            <wp:positionV relativeFrom="paragraph">
              <wp:posOffset>373435</wp:posOffset>
            </wp:positionV>
            <wp:extent cx="2415411" cy="982441"/>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6" cstate="print"/>
                    <a:stretch>
                      <a:fillRect/>
                    </a:stretch>
                  </pic:blipFill>
                  <pic:spPr>
                    <a:xfrm>
                      <a:off x="0" y="0"/>
                      <a:ext cx="2415411" cy="982441"/>
                    </a:xfrm>
                    <a:prstGeom prst="rect">
                      <a:avLst/>
                    </a:prstGeom>
                  </pic:spPr>
                </pic:pic>
              </a:graphicData>
            </a:graphic>
          </wp:anchor>
        </w:drawing>
      </w:r>
      <w:r>
        <w:rPr>
          <w:color w:val="121212"/>
          <w:w w:val="95"/>
          <w:sz w:val="16"/>
        </w:rPr>
        <w:t>Engage el dispositivo de seguridad de aguja y desechar de forma segura todos los componentes del kit (Ver Figura 8). ABILIFY Mantenim jeringa precargada de doble cámara es para un solo uso.</w:t>
      </w:r>
    </w:p>
    <w:p>
      <w:pPr>
        <w:spacing w:after="0" w:line="213" w:lineRule="auto"/>
        <w:jc w:val="both"/>
        <w:rPr>
          <w:sz w:val="16"/>
        </w:rPr>
        <w:sectPr>
          <w:headerReference w:type="default" r:id="rId8"/>
          <w:pgSz w:w="12240" w:h="15840"/>
          <w:pgMar w:header="676" w:footer="367" w:top="860" w:bottom="560" w:left="580" w:right="0"/>
          <w:cols w:num="2" w:equalWidth="0">
            <w:col w:w="5466" w:space="54"/>
            <w:col w:w="6140"/>
          </w:cols>
        </w:sectPr>
      </w:pPr>
    </w:p>
    <w:p>
      <w:pPr>
        <w:pStyle w:val="BodyText"/>
        <w:rPr>
          <w:b/>
          <w:sz w:val="20"/>
        </w:rPr>
      </w:pPr>
    </w:p>
    <w:p>
      <w:pPr>
        <w:pStyle w:val="BodyText"/>
        <w:rPr>
          <w:b/>
          <w:sz w:val="20"/>
        </w:rPr>
      </w:pPr>
    </w:p>
    <w:p>
      <w:pPr>
        <w:pStyle w:val="BodyText"/>
        <w:spacing w:before="2"/>
        <w:rPr>
          <w:b/>
          <w:sz w:val="22"/>
        </w:rPr>
      </w:pPr>
    </w:p>
    <w:p>
      <w:pPr>
        <w:spacing w:after="0"/>
        <w:rPr>
          <w:sz w:val="22"/>
        </w:rPr>
        <w:sectPr>
          <w:type w:val="continuous"/>
          <w:pgSz w:w="12240" w:h="15840"/>
          <w:pgMar w:top="600" w:bottom="280" w:left="58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9"/>
        </w:rPr>
      </w:pPr>
    </w:p>
    <w:p>
      <w:pPr>
        <w:pStyle w:val="BodyText"/>
        <w:ind w:left="139"/>
      </w:pPr>
      <w:r>
        <w:rPr>
          <w:w w:val="90"/>
        </w:rPr>
        <w:t>Para la administración deltoides:</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Heading3"/>
        <w:spacing w:before="150"/>
        <w:ind w:left="139"/>
      </w:pPr>
      <w:r>
        <w:rPr>
          <w:w w:val="95"/>
        </w:rPr>
        <w:t>Figura 4</w:t>
      </w:r>
    </w:p>
    <w:p>
      <w:pPr>
        <w:spacing w:before="109"/>
        <w:ind w:left="284" w:right="863" w:firstLine="0"/>
        <w:jc w:val="center"/>
        <w:rPr>
          <w:b/>
          <w:sz w:val="16"/>
        </w:rPr>
      </w:pPr>
      <w:r>
        <w:rPr/>
        <w:br w:type="column"/>
      </w:r>
      <w:r>
        <w:rPr>
          <w:b/>
          <w:sz w:val="16"/>
        </w:rPr>
        <w:t>Figura 8</w:t>
      </w:r>
    </w:p>
    <w:p>
      <w:pPr>
        <w:pStyle w:val="ListParagraph"/>
        <w:numPr>
          <w:ilvl w:val="0"/>
          <w:numId w:val="15"/>
        </w:numPr>
        <w:tabs>
          <w:tab w:pos="440" w:val="left" w:leader="none"/>
        </w:tabs>
        <w:spacing w:line="240" w:lineRule="auto" w:before="10" w:after="0"/>
        <w:ind w:left="439" w:right="0" w:hanging="300"/>
        <w:jc w:val="left"/>
        <w:rPr>
          <w:sz w:val="16"/>
        </w:rPr>
      </w:pPr>
      <w:r>
        <w:rPr>
          <w:sz w:val="16"/>
        </w:rPr>
        <w:t>Rotar los sitios de inyecciones entre los dos músculos deltoides o en el glúteo.</w:t>
      </w:r>
    </w:p>
    <w:p>
      <w:pPr>
        <w:pStyle w:val="Heading3"/>
        <w:numPr>
          <w:ilvl w:val="1"/>
          <w:numId w:val="11"/>
        </w:numPr>
        <w:tabs>
          <w:tab w:pos="440" w:val="left" w:leader="none"/>
        </w:tabs>
        <w:spacing w:line="288" w:lineRule="auto" w:before="81" w:after="0"/>
        <w:ind w:left="139" w:right="2506" w:firstLine="0"/>
        <w:jc w:val="left"/>
      </w:pPr>
      <w:r>
        <w:rPr>
          <w:w w:val="85"/>
        </w:rPr>
        <w:t>Vial: Preparación y Instrucciones para la administración Preparación antes de la reconstitución</w:t>
      </w:r>
    </w:p>
    <w:p>
      <w:pPr>
        <w:spacing w:line="147" w:lineRule="exact" w:before="0"/>
        <w:ind w:left="139" w:right="0" w:firstLine="0"/>
        <w:jc w:val="left"/>
        <w:rPr>
          <w:b/>
          <w:sz w:val="16"/>
        </w:rPr>
      </w:pPr>
      <w:r>
        <w:rPr>
          <w:b/>
          <w:w w:val="95"/>
          <w:sz w:val="16"/>
        </w:rPr>
        <w:t>Para la inyección intramuscular profunda por profesionales sanitarios. No haga</w:t>
      </w:r>
    </w:p>
    <w:p>
      <w:pPr>
        <w:spacing w:line="213" w:lineRule="auto" w:before="6"/>
        <w:ind w:left="139" w:right="708" w:firstLine="0"/>
        <w:jc w:val="left"/>
        <w:rPr>
          <w:b/>
          <w:sz w:val="16"/>
        </w:rPr>
      </w:pPr>
      <w:r>
        <w:rPr>
          <w:b/>
          <w:w w:val="85"/>
          <w:sz w:val="16"/>
        </w:rPr>
        <w:t>administrar por cualquier otra vía. Inyectar inmediatamente después de la reconstitución. Administrar una vez al mes.</w:t>
      </w:r>
    </w:p>
    <w:p>
      <w:pPr>
        <w:spacing w:after="0" w:line="213" w:lineRule="auto"/>
        <w:jc w:val="left"/>
        <w:rPr>
          <w:sz w:val="16"/>
        </w:rPr>
        <w:sectPr>
          <w:type w:val="continuous"/>
          <w:pgSz w:w="12240" w:h="15840"/>
          <w:pgMar w:top="600" w:bottom="280" w:left="580" w:right="0"/>
          <w:cols w:num="3" w:equalWidth="0">
            <w:col w:w="1838" w:space="536"/>
            <w:col w:w="718" w:space="2428"/>
            <w:col w:w="6140"/>
          </w:cols>
        </w:sectPr>
      </w:pPr>
    </w:p>
    <w:p>
      <w:pPr>
        <w:pStyle w:val="ListParagraph"/>
        <w:numPr>
          <w:ilvl w:val="2"/>
          <w:numId w:val="11"/>
        </w:numPr>
        <w:tabs>
          <w:tab w:pos="715" w:val="left" w:leader="none"/>
          <w:tab w:pos="716" w:val="left" w:leader="none"/>
        </w:tabs>
        <w:spacing w:line="142" w:lineRule="exact" w:before="0" w:after="0"/>
        <w:ind w:left="859" w:right="0" w:hanging="432"/>
        <w:jc w:val="left"/>
        <w:rPr>
          <w:sz w:val="16"/>
        </w:rPr>
      </w:pPr>
      <w:r>
        <w:rPr>
          <w:w w:val="90"/>
          <w:sz w:val="16"/>
        </w:rPr>
        <w:t>De calibre 23, de 1 pulgada (25 mm) de aguja de seguridad hipodérmica con protección de la aguja</w:t>
      </w:r>
    </w:p>
    <w:p>
      <w:pPr>
        <w:pStyle w:val="BodyText"/>
        <w:spacing w:line="174" w:lineRule="exact"/>
        <w:ind w:left="859"/>
      </w:pPr>
      <w:r>
        <w:rPr/>
        <w:t>dispositivo para los pacientes no obesos</w:t>
      </w:r>
    </w:p>
    <w:p>
      <w:pPr>
        <w:pStyle w:val="ListParagraph"/>
        <w:numPr>
          <w:ilvl w:val="2"/>
          <w:numId w:val="11"/>
        </w:numPr>
        <w:tabs>
          <w:tab w:pos="715" w:val="left" w:leader="none"/>
          <w:tab w:pos="716" w:val="left" w:leader="none"/>
        </w:tabs>
        <w:spacing w:line="216" w:lineRule="auto" w:before="24" w:after="0"/>
        <w:ind w:left="859" w:right="38" w:hanging="432"/>
        <w:jc w:val="left"/>
        <w:rPr>
          <w:sz w:val="16"/>
        </w:rPr>
      </w:pPr>
      <w:r>
        <w:rPr>
          <w:w w:val="90"/>
          <w:sz w:val="16"/>
        </w:rPr>
        <w:t>De calibre 22, de 1,5 pulgadas (38 mm) de aguja de seguridad hipodérmica con protección de la aguja </w:t>
      </w:r>
      <w:r>
        <w:rPr>
          <w:sz w:val="16"/>
        </w:rPr>
        <w:t>dispositivo para los pacientes obesos</w:t>
      </w:r>
    </w:p>
    <w:p>
      <w:pPr>
        <w:pStyle w:val="BodyText"/>
        <w:spacing w:before="35"/>
        <w:ind w:left="139"/>
      </w:pPr>
      <w:r>
        <w:rPr/>
        <w:t>Para la administración de los glúteos:</w:t>
      </w:r>
    </w:p>
    <w:p>
      <w:pPr>
        <w:pStyle w:val="ListParagraph"/>
        <w:numPr>
          <w:ilvl w:val="2"/>
          <w:numId w:val="11"/>
        </w:numPr>
        <w:tabs>
          <w:tab w:pos="715" w:val="left" w:leader="none"/>
          <w:tab w:pos="716" w:val="left" w:leader="none"/>
        </w:tabs>
        <w:spacing w:line="216" w:lineRule="auto" w:before="24" w:after="0"/>
        <w:ind w:left="859" w:right="38" w:hanging="432"/>
        <w:jc w:val="left"/>
        <w:rPr>
          <w:sz w:val="16"/>
        </w:rPr>
      </w:pPr>
      <w:r>
        <w:rPr>
          <w:w w:val="90"/>
          <w:sz w:val="16"/>
        </w:rPr>
        <w:t>De calibre 22, de 1,5 pulgadas (38 mm) de aguja de seguridad hipodérmica con protección de la aguja </w:t>
      </w:r>
      <w:r>
        <w:rPr>
          <w:sz w:val="16"/>
        </w:rPr>
        <w:t>dispositivo para los pacientes no obesos</w:t>
      </w:r>
    </w:p>
    <w:p>
      <w:pPr>
        <w:pStyle w:val="ListParagraph"/>
        <w:numPr>
          <w:ilvl w:val="2"/>
          <w:numId w:val="11"/>
        </w:numPr>
        <w:tabs>
          <w:tab w:pos="715" w:val="left" w:leader="none"/>
          <w:tab w:pos="716" w:val="left" w:leader="none"/>
        </w:tabs>
        <w:spacing w:line="216" w:lineRule="auto" w:before="28" w:after="0"/>
        <w:ind w:left="859" w:right="38" w:hanging="432"/>
        <w:jc w:val="left"/>
        <w:rPr>
          <w:sz w:val="16"/>
        </w:rPr>
      </w:pPr>
      <w:r>
        <w:rPr>
          <w:w w:val="90"/>
          <w:sz w:val="16"/>
        </w:rPr>
        <w:t>De calibre 21, de 2 pulgadas (51 mm) de aguja de seguridad hipodérmica con protección de la aguja </w:t>
      </w:r>
      <w:r>
        <w:rPr>
          <w:sz w:val="16"/>
        </w:rPr>
        <w:t>dispositivo para los pacientes obesos</w:t>
      </w:r>
    </w:p>
    <w:p>
      <w:pPr>
        <w:pStyle w:val="ListParagraph"/>
        <w:numPr>
          <w:ilvl w:val="0"/>
          <w:numId w:val="15"/>
        </w:numPr>
        <w:tabs>
          <w:tab w:pos="440" w:val="left" w:leader="none"/>
        </w:tabs>
        <w:spacing w:line="220" w:lineRule="auto" w:before="25" w:after="0"/>
        <w:ind w:left="439" w:right="38" w:hanging="300"/>
        <w:jc w:val="left"/>
        <w:rPr>
          <w:sz w:val="16"/>
        </w:rPr>
      </w:pPr>
      <w:r>
        <w:rPr>
          <w:w w:val="95"/>
          <w:sz w:val="16"/>
        </w:rPr>
        <w:t>Mientras sostiene la tapa de la aguja, asegurarse de que la aguja esté firmemente asentada sobre la seguridad </w:t>
      </w:r>
      <w:r>
        <w:rPr>
          <w:sz w:val="16"/>
        </w:rPr>
        <w:t>dispositivo con un empujón. Tuerza hacia la derecha hasta perfectamente equipado (Ver Figura 5).</w:t>
      </w:r>
    </w:p>
    <w:p>
      <w:pPr>
        <w:pStyle w:val="ListParagraph"/>
        <w:numPr>
          <w:ilvl w:val="0"/>
          <w:numId w:val="16"/>
        </w:numPr>
        <w:tabs>
          <w:tab w:pos="305" w:val="left" w:leader="none"/>
        </w:tabs>
        <w:spacing w:line="240" w:lineRule="auto" w:before="13" w:after="0"/>
        <w:ind w:left="304" w:right="0" w:hanging="165"/>
        <w:jc w:val="left"/>
        <w:rPr>
          <w:sz w:val="16"/>
        </w:rPr>
      </w:pPr>
      <w:r>
        <w:rPr>
          <w:w w:val="86"/>
          <w:sz w:val="16"/>
        </w:rPr>
        <w:br w:type="column"/>
      </w:r>
      <w:r>
        <w:rPr>
          <w:sz w:val="16"/>
        </w:rPr>
        <w:t>Trace y confirman que los componentes que figuran a continuación se proporcionan en el kit:</w:t>
      </w:r>
    </w:p>
    <w:p>
      <w:pPr>
        <w:pStyle w:val="ListParagraph"/>
        <w:numPr>
          <w:ilvl w:val="1"/>
          <w:numId w:val="16"/>
        </w:numPr>
        <w:tabs>
          <w:tab w:pos="779" w:val="left" w:leader="none"/>
          <w:tab w:pos="780" w:val="left" w:leader="none"/>
        </w:tabs>
        <w:spacing w:line="213" w:lineRule="auto" w:before="25" w:after="0"/>
        <w:ind w:left="779" w:right="718" w:hanging="340"/>
        <w:jc w:val="left"/>
        <w:rPr>
          <w:sz w:val="16"/>
        </w:rPr>
      </w:pPr>
      <w:r>
        <w:rPr>
          <w:w w:val="90"/>
          <w:sz w:val="16"/>
        </w:rPr>
        <w:t>Vial de ABILIFY Mantenim (aripiprazol) para de liberación prolongada inyectable </w:t>
      </w:r>
      <w:r>
        <w:rPr>
          <w:sz w:val="16"/>
        </w:rPr>
        <w:t>polvo liofilizado suspensión</w:t>
      </w:r>
    </w:p>
    <w:p>
      <w:pPr>
        <w:pStyle w:val="ListParagraph"/>
        <w:numPr>
          <w:ilvl w:val="1"/>
          <w:numId w:val="16"/>
        </w:numPr>
        <w:tabs>
          <w:tab w:pos="779" w:val="left" w:leader="none"/>
          <w:tab w:pos="780" w:val="left" w:leader="none"/>
        </w:tabs>
        <w:spacing w:line="240" w:lineRule="auto" w:before="6" w:after="0"/>
        <w:ind w:left="779" w:right="0" w:hanging="340"/>
        <w:jc w:val="left"/>
        <w:rPr>
          <w:sz w:val="16"/>
        </w:rPr>
      </w:pPr>
      <w:r>
        <w:rPr>
          <w:sz w:val="16"/>
        </w:rPr>
        <w:t>Vial de 5 ml de agua estéril para inyección, USP</w:t>
      </w:r>
    </w:p>
    <w:p>
      <w:pPr>
        <w:pStyle w:val="ListParagraph"/>
        <w:numPr>
          <w:ilvl w:val="1"/>
          <w:numId w:val="16"/>
        </w:numPr>
        <w:tabs>
          <w:tab w:pos="779" w:val="left" w:leader="none"/>
          <w:tab w:pos="780" w:val="left" w:leader="none"/>
        </w:tabs>
        <w:spacing w:line="213" w:lineRule="auto" w:before="18" w:after="0"/>
        <w:ind w:left="779" w:right="717" w:hanging="340"/>
        <w:jc w:val="left"/>
        <w:rPr>
          <w:sz w:val="16"/>
        </w:rPr>
      </w:pPr>
      <w:r>
        <w:rPr>
          <w:w w:val="90"/>
          <w:sz w:val="16"/>
        </w:rPr>
        <w:t>Una 3-ml, jeringa de bloqueo luer con pre-adjunta de calibre 21, de 1,5 pulgadas (38 mm) </w:t>
      </w:r>
      <w:r>
        <w:rPr>
          <w:sz w:val="16"/>
        </w:rPr>
        <w:t>aguja de seguridad hipodérmica con dispositivo de protección de aguja</w:t>
      </w:r>
    </w:p>
    <w:p>
      <w:pPr>
        <w:pStyle w:val="ListParagraph"/>
        <w:numPr>
          <w:ilvl w:val="1"/>
          <w:numId w:val="16"/>
        </w:numPr>
        <w:tabs>
          <w:tab w:pos="779" w:val="left" w:leader="none"/>
          <w:tab w:pos="780" w:val="left" w:leader="none"/>
        </w:tabs>
        <w:spacing w:line="240" w:lineRule="auto" w:before="6" w:after="0"/>
        <w:ind w:left="779" w:right="0" w:hanging="340"/>
        <w:jc w:val="left"/>
        <w:rPr>
          <w:sz w:val="16"/>
        </w:rPr>
      </w:pPr>
      <w:r>
        <w:rPr>
          <w:sz w:val="16"/>
        </w:rPr>
        <w:t>Una 3-ml, de bloqueo Luer de la jeringa desechable con punta de cierre luer</w:t>
      </w:r>
    </w:p>
    <w:p>
      <w:pPr>
        <w:pStyle w:val="ListParagraph"/>
        <w:numPr>
          <w:ilvl w:val="1"/>
          <w:numId w:val="16"/>
        </w:numPr>
        <w:tabs>
          <w:tab w:pos="779" w:val="left" w:leader="none"/>
          <w:tab w:pos="780" w:val="left" w:leader="none"/>
        </w:tabs>
        <w:spacing w:line="240" w:lineRule="auto" w:before="1" w:after="0"/>
        <w:ind w:left="779" w:right="0" w:hanging="340"/>
        <w:jc w:val="left"/>
        <w:rPr>
          <w:sz w:val="16"/>
        </w:rPr>
      </w:pPr>
      <w:r>
        <w:rPr>
          <w:w w:val="95"/>
          <w:sz w:val="16"/>
        </w:rPr>
        <w:t>Un adaptador de vial</w:t>
      </w:r>
    </w:p>
    <w:p>
      <w:pPr>
        <w:pStyle w:val="ListParagraph"/>
        <w:numPr>
          <w:ilvl w:val="1"/>
          <w:numId w:val="16"/>
        </w:numPr>
        <w:tabs>
          <w:tab w:pos="779" w:val="left" w:leader="none"/>
          <w:tab w:pos="780" w:val="left" w:leader="none"/>
        </w:tabs>
        <w:spacing w:line="213" w:lineRule="auto" w:before="18" w:after="0"/>
        <w:ind w:left="779" w:right="718" w:hanging="340"/>
        <w:jc w:val="left"/>
        <w:rPr>
          <w:sz w:val="16"/>
        </w:rPr>
      </w:pPr>
      <w:r>
        <w:rPr>
          <w:w w:val="95"/>
          <w:sz w:val="16"/>
        </w:rPr>
        <w:t>Uno de calibre 23, de 1 pulgada (25 mm) de aguja de seguridad hipodérmica con la aguja </w:t>
      </w:r>
      <w:r>
        <w:rPr>
          <w:sz w:val="16"/>
        </w:rPr>
        <w:t>Dispositivo de protección para la administración deltoides en los pacientes no obesos</w:t>
      </w:r>
    </w:p>
    <w:p>
      <w:pPr>
        <w:pStyle w:val="ListParagraph"/>
        <w:numPr>
          <w:ilvl w:val="1"/>
          <w:numId w:val="16"/>
        </w:numPr>
        <w:tabs>
          <w:tab w:pos="780" w:val="left" w:leader="none"/>
        </w:tabs>
        <w:spacing w:line="213" w:lineRule="auto" w:before="23" w:after="0"/>
        <w:ind w:left="779" w:right="717" w:hanging="340"/>
        <w:jc w:val="both"/>
        <w:rPr>
          <w:sz w:val="16"/>
        </w:rPr>
      </w:pPr>
      <w:r>
        <w:rPr>
          <w:w w:val="95"/>
          <w:sz w:val="16"/>
        </w:rPr>
        <w:t>Uno de calibre 22, de 1,5 pulgadas (38 mm) de aguja de seguridad hipodérmica con la aguja </w:t>
      </w:r>
      <w:r>
        <w:rPr>
          <w:sz w:val="16"/>
        </w:rPr>
        <w:t>Dispositivo de protección para la administración glútea en pacientes no obesos o administración deltoides en los pacientes obesos</w:t>
      </w:r>
    </w:p>
    <w:p>
      <w:pPr>
        <w:pStyle w:val="ListParagraph"/>
        <w:numPr>
          <w:ilvl w:val="1"/>
          <w:numId w:val="16"/>
        </w:numPr>
        <w:tabs>
          <w:tab w:pos="779" w:val="left" w:leader="none"/>
          <w:tab w:pos="780" w:val="left" w:leader="none"/>
        </w:tabs>
        <w:spacing w:line="213" w:lineRule="auto" w:before="22" w:after="0"/>
        <w:ind w:left="779" w:right="718" w:hanging="340"/>
        <w:jc w:val="left"/>
        <w:rPr>
          <w:sz w:val="16"/>
        </w:rPr>
      </w:pPr>
      <w:r>
        <w:rPr>
          <w:w w:val="95"/>
          <w:sz w:val="16"/>
        </w:rPr>
        <w:t>Uno de calibre 21, de 2 pulgadas (51 mm) de aguja de seguridad hipodérmica con la aguja </w:t>
      </w:r>
      <w:r>
        <w:rPr>
          <w:sz w:val="16"/>
        </w:rPr>
        <w:t>Dispositivo de protección para la administración glútea en pacientes obesos</w:t>
      </w:r>
    </w:p>
    <w:p>
      <w:pPr>
        <w:spacing w:after="0" w:line="213" w:lineRule="auto"/>
        <w:jc w:val="left"/>
        <w:rPr>
          <w:sz w:val="16"/>
        </w:rPr>
        <w:sectPr>
          <w:type w:val="continuous"/>
          <w:pgSz w:w="12240" w:h="15840"/>
          <w:pgMar w:top="600" w:bottom="280" w:left="580" w:right="0"/>
          <w:cols w:num="2" w:equalWidth="0">
            <w:col w:w="5466" w:space="54"/>
            <w:col w:w="6140"/>
          </w:cols>
        </w:sectPr>
      </w:pPr>
    </w:p>
    <w:p>
      <w:pPr>
        <w:pStyle w:val="BodyText"/>
        <w:spacing w:before="9"/>
        <w:rPr>
          <w:sz w:val="15"/>
        </w:rPr>
      </w:pPr>
    </w:p>
    <w:p>
      <w:pPr>
        <w:pStyle w:val="ListParagraph"/>
        <w:numPr>
          <w:ilvl w:val="0"/>
          <w:numId w:val="16"/>
        </w:numPr>
        <w:tabs>
          <w:tab w:pos="314" w:val="left" w:leader="none"/>
        </w:tabs>
        <w:spacing w:line="216" w:lineRule="auto" w:before="0" w:after="0"/>
        <w:ind w:left="313" w:right="52" w:hanging="173"/>
        <w:jc w:val="left"/>
        <w:rPr>
          <w:sz w:val="16"/>
        </w:rPr>
      </w:pPr>
      <w:r>
        <w:rPr>
          <w:w w:val="90"/>
          <w:sz w:val="16"/>
        </w:rPr>
        <w:t>ABILIFY Mantenim debe suspenderse el uso del agua estéril para inyección como </w:t>
      </w:r>
      <w:r>
        <w:rPr>
          <w:sz w:val="16"/>
        </w:rPr>
        <w:t>suministrado en el kit.</w:t>
      </w:r>
    </w:p>
    <w:p>
      <w:pPr>
        <w:pStyle w:val="ListParagraph"/>
        <w:numPr>
          <w:ilvl w:val="0"/>
          <w:numId w:val="16"/>
        </w:numPr>
        <w:tabs>
          <w:tab w:pos="305" w:val="left" w:leader="none"/>
        </w:tabs>
        <w:spacing w:line="240" w:lineRule="auto" w:before="12" w:after="0"/>
        <w:ind w:left="304" w:right="0" w:hanging="164"/>
        <w:jc w:val="left"/>
        <w:rPr>
          <w:sz w:val="16"/>
        </w:rPr>
      </w:pPr>
      <w:r>
        <w:rPr>
          <w:w w:val="90"/>
          <w:sz w:val="16"/>
        </w:rPr>
        <w:t>El agua estéril para inyección y ABILIFY Mantenim viales son para un solo uso.</w:t>
      </w:r>
    </w:p>
    <w:p>
      <w:pPr>
        <w:pStyle w:val="ListParagraph"/>
        <w:numPr>
          <w:ilvl w:val="0"/>
          <w:numId w:val="16"/>
        </w:numPr>
        <w:tabs>
          <w:tab w:pos="314" w:val="left" w:leader="none"/>
        </w:tabs>
        <w:spacing w:line="216" w:lineRule="auto" w:before="25" w:after="0"/>
        <w:ind w:left="313" w:right="51" w:hanging="173"/>
        <w:jc w:val="left"/>
        <w:rPr>
          <w:sz w:val="16"/>
        </w:rPr>
      </w:pPr>
      <w:r>
        <w:rPr>
          <w:w w:val="90"/>
          <w:sz w:val="16"/>
        </w:rPr>
        <w:t>Usar técnicas asépticas apropiados a lo largo de la reconstitución y reconstituir en </w:t>
      </w:r>
      <w:r>
        <w:rPr>
          <w:sz w:val="16"/>
        </w:rPr>
        <w:t>temperatura ambiente.</w:t>
      </w:r>
    </w:p>
    <w:p>
      <w:pPr>
        <w:pStyle w:val="ListParagraph"/>
        <w:numPr>
          <w:ilvl w:val="0"/>
          <w:numId w:val="16"/>
        </w:numPr>
        <w:tabs>
          <w:tab w:pos="305" w:val="left" w:leader="none"/>
        </w:tabs>
        <w:spacing w:line="216" w:lineRule="auto" w:before="28" w:after="0"/>
        <w:ind w:left="304" w:right="51" w:hanging="164"/>
        <w:jc w:val="left"/>
        <w:rPr>
          <w:sz w:val="16"/>
        </w:rPr>
      </w:pPr>
      <w:r>
        <w:rPr>
          <w:w w:val="95"/>
          <w:sz w:val="16"/>
        </w:rPr>
        <w:t>Seleccione la cantidad de agua estéril para inyección necesaria para la reconstitución (ver </w:t>
      </w:r>
      <w:r>
        <w:rPr>
          <w:spacing w:val="-3"/>
          <w:sz w:val="16"/>
        </w:rPr>
        <w:t>Mesa </w:t>
      </w:r>
      <w:r>
        <w:rPr>
          <w:sz w:val="16"/>
        </w:rPr>
        <w:t>2).</w:t>
      </w:r>
    </w:p>
    <w:p>
      <w:pPr>
        <w:pStyle w:val="Heading3"/>
        <w:spacing w:before="12"/>
      </w:pPr>
      <w:r>
        <w:rPr>
          <w:w w:val="95"/>
        </w:rPr>
        <w:t>Tabla 2: Cantidad de agua estéril para inyección necesario para su reconstitución</w:t>
      </w:r>
    </w:p>
    <w:p>
      <w:pPr>
        <w:pStyle w:val="BodyText"/>
        <w:spacing w:before="1"/>
        <w:rPr>
          <w:b/>
          <w:sz w:val="2"/>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0"/>
        <w:gridCol w:w="1320"/>
        <w:gridCol w:w="1320"/>
        <w:gridCol w:w="1320"/>
      </w:tblGrid>
      <w:tr>
        <w:trPr>
          <w:trHeight w:val="191" w:hRule="atLeast"/>
        </w:trPr>
        <w:tc>
          <w:tcPr>
            <w:tcW w:w="2640" w:type="dxa"/>
            <w:gridSpan w:val="2"/>
            <w:tcBorders>
              <w:right w:val="double" w:sz="1" w:space="0" w:color="000000"/>
            </w:tcBorders>
          </w:tcPr>
          <w:p>
            <w:pPr>
              <w:pStyle w:val="TableParagraph"/>
              <w:spacing w:line="168" w:lineRule="exact" w:before="3"/>
              <w:ind w:left="852" w:right="840"/>
              <w:jc w:val="center"/>
              <w:rPr>
                <w:b/>
                <w:sz w:val="16"/>
              </w:rPr>
            </w:pPr>
            <w:r>
              <w:rPr>
                <w:b/>
                <w:sz w:val="16"/>
              </w:rPr>
              <w:t>400-mg Vial</w:t>
            </w:r>
          </w:p>
        </w:tc>
        <w:tc>
          <w:tcPr>
            <w:tcW w:w="2640" w:type="dxa"/>
            <w:gridSpan w:val="2"/>
            <w:tcBorders>
              <w:left w:val="double" w:sz="1" w:space="0" w:color="000000"/>
            </w:tcBorders>
          </w:tcPr>
          <w:p>
            <w:pPr>
              <w:pStyle w:val="TableParagraph"/>
              <w:spacing w:line="168" w:lineRule="exact" w:before="3"/>
              <w:ind w:left="849" w:right="843"/>
              <w:jc w:val="center"/>
              <w:rPr>
                <w:b/>
                <w:sz w:val="16"/>
              </w:rPr>
            </w:pPr>
            <w:r>
              <w:rPr>
                <w:b/>
                <w:sz w:val="16"/>
              </w:rPr>
              <w:t>300-mg Vial</w:t>
            </w:r>
          </w:p>
        </w:tc>
      </w:tr>
      <w:tr>
        <w:trPr>
          <w:trHeight w:val="371" w:hRule="atLeast"/>
        </w:trPr>
        <w:tc>
          <w:tcPr>
            <w:tcW w:w="1320" w:type="dxa"/>
          </w:tcPr>
          <w:p>
            <w:pPr>
              <w:pStyle w:val="TableParagraph"/>
              <w:spacing w:before="93"/>
              <w:ind w:left="372" w:right="363"/>
              <w:jc w:val="center"/>
              <w:rPr>
                <w:sz w:val="16"/>
              </w:rPr>
            </w:pPr>
            <w:r>
              <w:rPr>
                <w:w w:val="95"/>
                <w:sz w:val="16"/>
              </w:rPr>
              <w:t>Dosis</w:t>
            </w:r>
          </w:p>
        </w:tc>
        <w:tc>
          <w:tcPr>
            <w:tcW w:w="1320" w:type="dxa"/>
            <w:tcBorders>
              <w:right w:val="double" w:sz="1" w:space="0" w:color="000000"/>
            </w:tcBorders>
          </w:tcPr>
          <w:p>
            <w:pPr>
              <w:pStyle w:val="TableParagraph"/>
              <w:spacing w:line="180" w:lineRule="exact" w:before="9"/>
              <w:ind w:left="388" w:right="44" w:hanging="243"/>
              <w:rPr>
                <w:sz w:val="16"/>
              </w:rPr>
            </w:pPr>
            <w:r>
              <w:rPr>
                <w:w w:val="95"/>
                <w:sz w:val="16"/>
              </w:rPr>
              <w:t>Agua estéril para </w:t>
            </w:r>
            <w:r>
              <w:rPr>
                <w:sz w:val="16"/>
              </w:rPr>
              <w:t>Inyección</w:t>
            </w:r>
          </w:p>
        </w:tc>
        <w:tc>
          <w:tcPr>
            <w:tcW w:w="1320" w:type="dxa"/>
            <w:tcBorders>
              <w:left w:val="double" w:sz="1" w:space="0" w:color="000000"/>
            </w:tcBorders>
          </w:tcPr>
          <w:p>
            <w:pPr>
              <w:pStyle w:val="TableParagraph"/>
              <w:spacing w:before="93"/>
              <w:ind w:left="369" w:right="363"/>
              <w:jc w:val="center"/>
              <w:rPr>
                <w:sz w:val="16"/>
              </w:rPr>
            </w:pPr>
            <w:r>
              <w:rPr>
                <w:w w:val="95"/>
                <w:sz w:val="16"/>
              </w:rPr>
              <w:t>Dosis</w:t>
            </w:r>
          </w:p>
        </w:tc>
        <w:tc>
          <w:tcPr>
            <w:tcW w:w="1320" w:type="dxa"/>
          </w:tcPr>
          <w:p>
            <w:pPr>
              <w:pStyle w:val="TableParagraph"/>
              <w:spacing w:line="180" w:lineRule="exact" w:before="9"/>
              <w:ind w:left="388" w:right="46" w:hanging="243"/>
              <w:rPr>
                <w:sz w:val="16"/>
              </w:rPr>
            </w:pPr>
            <w:r>
              <w:rPr>
                <w:w w:val="95"/>
                <w:sz w:val="16"/>
              </w:rPr>
              <w:t>Agua estéril para </w:t>
            </w:r>
            <w:r>
              <w:rPr>
                <w:sz w:val="16"/>
              </w:rPr>
              <w:t>Inyección</w:t>
            </w:r>
          </w:p>
        </w:tc>
      </w:tr>
      <w:tr>
        <w:trPr>
          <w:trHeight w:val="191" w:hRule="atLeast"/>
        </w:trPr>
        <w:tc>
          <w:tcPr>
            <w:tcW w:w="1320" w:type="dxa"/>
          </w:tcPr>
          <w:p>
            <w:pPr>
              <w:pStyle w:val="TableParagraph"/>
              <w:spacing w:line="168" w:lineRule="exact" w:before="3"/>
              <w:ind w:left="372" w:right="363"/>
              <w:jc w:val="center"/>
              <w:rPr>
                <w:sz w:val="16"/>
              </w:rPr>
            </w:pPr>
            <w:r>
              <w:rPr>
                <w:sz w:val="16"/>
              </w:rPr>
              <w:t>400 mg</w:t>
            </w:r>
          </w:p>
        </w:tc>
        <w:tc>
          <w:tcPr>
            <w:tcW w:w="1320" w:type="dxa"/>
            <w:tcBorders>
              <w:right w:val="double" w:sz="1" w:space="0" w:color="000000"/>
            </w:tcBorders>
          </w:tcPr>
          <w:p>
            <w:pPr>
              <w:pStyle w:val="TableParagraph"/>
              <w:spacing w:line="168" w:lineRule="exact" w:before="3"/>
              <w:ind w:left="437"/>
              <w:rPr>
                <w:sz w:val="16"/>
              </w:rPr>
            </w:pPr>
            <w:r>
              <w:rPr>
                <w:sz w:val="16"/>
              </w:rPr>
              <w:t>1,9 ml</w:t>
            </w:r>
          </w:p>
        </w:tc>
        <w:tc>
          <w:tcPr>
            <w:tcW w:w="1320" w:type="dxa"/>
            <w:tcBorders>
              <w:left w:val="double" w:sz="1" w:space="0" w:color="000000"/>
            </w:tcBorders>
          </w:tcPr>
          <w:p>
            <w:pPr>
              <w:pStyle w:val="TableParagraph"/>
              <w:spacing w:line="168" w:lineRule="exact" w:before="3"/>
              <w:ind w:left="369" w:right="363"/>
              <w:jc w:val="center"/>
              <w:rPr>
                <w:sz w:val="16"/>
              </w:rPr>
            </w:pPr>
            <w:r>
              <w:rPr>
                <w:sz w:val="16"/>
              </w:rPr>
              <w:t>300 mg</w:t>
            </w:r>
          </w:p>
        </w:tc>
        <w:tc>
          <w:tcPr>
            <w:tcW w:w="1320" w:type="dxa"/>
          </w:tcPr>
          <w:p>
            <w:pPr>
              <w:pStyle w:val="TableParagraph"/>
              <w:spacing w:line="168" w:lineRule="exact" w:before="3"/>
              <w:ind w:left="436"/>
              <w:rPr>
                <w:sz w:val="16"/>
              </w:rPr>
            </w:pPr>
            <w:r>
              <w:rPr>
                <w:sz w:val="16"/>
              </w:rPr>
              <w:t>1,5 ml</w:t>
            </w:r>
          </w:p>
        </w:tc>
      </w:tr>
    </w:tbl>
    <w:p>
      <w:pPr>
        <w:spacing w:line="216" w:lineRule="auto" w:before="30"/>
        <w:ind w:left="140" w:right="51" w:firstLine="0"/>
        <w:jc w:val="both"/>
        <w:rPr>
          <w:b/>
          <w:sz w:val="16"/>
        </w:rPr>
      </w:pPr>
      <w:r>
        <w:rPr>
          <w:b/>
          <w:w w:val="95"/>
          <w:sz w:val="16"/>
        </w:rPr>
        <w:t>Importante: hay agua más estéril para inyección en el vial que se necesita para reconstituir ABILIFY Mantenim (aripiprazol) para suspensión inyectable de liberación prolongada. El vial tendrá exceso de agua estéril para inyección; desechar cualquier porción no utilizada.</w:t>
      </w:r>
    </w:p>
    <w:p>
      <w:pPr>
        <w:spacing w:before="55"/>
        <w:ind w:left="140" w:right="0" w:firstLine="0"/>
        <w:jc w:val="left"/>
        <w:rPr>
          <w:b/>
          <w:sz w:val="16"/>
        </w:rPr>
      </w:pPr>
      <w:r>
        <w:rPr>
          <w:b/>
          <w:w w:val="95"/>
          <w:sz w:val="16"/>
        </w:rPr>
        <w:t>La reconstitución de polvo liofilizado en vial</w:t>
      </w:r>
    </w:p>
    <w:p>
      <w:pPr>
        <w:pStyle w:val="ListParagraph"/>
        <w:numPr>
          <w:ilvl w:val="0"/>
          <w:numId w:val="17"/>
        </w:numPr>
        <w:tabs>
          <w:tab w:pos="441" w:val="left" w:leader="none"/>
        </w:tabs>
        <w:spacing w:line="216" w:lineRule="auto" w:before="25" w:after="0"/>
        <w:ind w:left="440" w:right="52" w:hanging="300"/>
        <w:jc w:val="both"/>
        <w:rPr>
          <w:sz w:val="16"/>
        </w:rPr>
      </w:pPr>
      <w:r>
        <w:rPr>
          <w:w w:val="95"/>
          <w:sz w:val="16"/>
        </w:rPr>
        <w:t>Quitar el tapón del vial de agua estéril para inyección y quitar el tapón del vial que contiene polvo liofilizado ABILIFY Mantenim y limpie las copas </w:t>
      </w:r>
      <w:r>
        <w:rPr>
          <w:sz w:val="16"/>
        </w:rPr>
        <w:t>con un hisopo estéril alcohol.</w:t>
      </w:r>
    </w:p>
    <w:p>
      <w:pPr>
        <w:pStyle w:val="ListParagraph"/>
        <w:numPr>
          <w:ilvl w:val="0"/>
          <w:numId w:val="17"/>
        </w:numPr>
        <w:tabs>
          <w:tab w:pos="441" w:val="left" w:leader="none"/>
        </w:tabs>
        <w:spacing w:line="218" w:lineRule="auto" w:before="25" w:after="0"/>
        <w:ind w:left="440" w:right="51" w:hanging="300"/>
        <w:jc w:val="both"/>
        <w:rPr>
          <w:sz w:val="16"/>
        </w:rPr>
      </w:pPr>
      <w:r>
        <w:rPr>
          <w:w w:val="95"/>
          <w:sz w:val="16"/>
        </w:rPr>
        <w:t>Uso de la jeringa con la aguja pre-unida seguridad hipodérmica, retirar la pre-determinado de agua estéril para Volumen de inyección del vial de agua estéril para inyección en la jeringa (ver Figura 9). Residual de agua estéril para inyección</w:t>
      </w:r>
      <w:r>
        <w:rPr>
          <w:sz w:val="16"/>
        </w:rPr>
        <w:t>permanecerá en el vial después de la retirada; desechar cualquier porción no utilizada.</w:t>
      </w:r>
    </w:p>
    <w:p>
      <w:pPr>
        <w:pStyle w:val="BodyText"/>
        <w:spacing w:before="10"/>
        <w:rPr>
          <w:sz w:val="7"/>
        </w:rPr>
      </w:pPr>
    </w:p>
    <w:p>
      <w:pPr>
        <w:pStyle w:val="BodyText"/>
        <w:ind w:left="2090"/>
        <w:rPr>
          <w:sz w:val="20"/>
        </w:rPr>
      </w:pPr>
      <w:r>
        <w:rPr>
          <w:sz w:val="20"/>
        </w:rPr>
        <w:drawing>
          <wp:inline distT="0" distB="0" distL="0" distR="0">
            <wp:extent cx="848467" cy="1270444"/>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7" cstate="print"/>
                    <a:stretch>
                      <a:fillRect/>
                    </a:stretch>
                  </pic:blipFill>
                  <pic:spPr>
                    <a:xfrm>
                      <a:off x="0" y="0"/>
                      <a:ext cx="848467" cy="1270444"/>
                    </a:xfrm>
                    <a:prstGeom prst="rect">
                      <a:avLst/>
                    </a:prstGeom>
                  </pic:spPr>
                </pic:pic>
              </a:graphicData>
            </a:graphic>
          </wp:inline>
        </w:drawing>
      </w:r>
      <w:r>
        <w:rPr>
          <w:sz w:val="20"/>
        </w:rPr>
      </w:r>
    </w:p>
    <w:p>
      <w:pPr>
        <w:pStyle w:val="Heading3"/>
        <w:spacing w:before="70"/>
        <w:ind w:left="2404" w:right="2319"/>
        <w:jc w:val="center"/>
      </w:pPr>
      <w:r>
        <w:rPr/>
        <w:t>Figura 9</w:t>
      </w:r>
    </w:p>
    <w:p>
      <w:pPr>
        <w:pStyle w:val="ListParagraph"/>
        <w:numPr>
          <w:ilvl w:val="0"/>
          <w:numId w:val="17"/>
        </w:numPr>
        <w:tabs>
          <w:tab w:pos="440" w:val="left" w:leader="none"/>
        </w:tabs>
        <w:spacing w:line="220" w:lineRule="auto" w:before="22" w:after="0"/>
        <w:ind w:left="439" w:right="50" w:hanging="300"/>
        <w:jc w:val="both"/>
        <w:rPr>
          <w:sz w:val="16"/>
        </w:rPr>
      </w:pPr>
      <w:r>
        <w:rPr>
          <w:sz w:val="16"/>
        </w:rPr>
        <w:t>Inyecte lentamente el agua estéril para inyección en el vial que contiene el polvo liofilizado ABILIFY Mantenim (ver Figura 10).</w:t>
      </w:r>
    </w:p>
    <w:p>
      <w:pPr>
        <w:pStyle w:val="BodyText"/>
        <w:spacing w:before="4"/>
        <w:rPr>
          <w:sz w:val="8"/>
        </w:rPr>
      </w:pPr>
    </w:p>
    <w:p>
      <w:pPr>
        <w:pStyle w:val="BodyText"/>
        <w:ind w:left="2181"/>
        <w:rPr>
          <w:sz w:val="20"/>
        </w:rPr>
      </w:pPr>
      <w:r>
        <w:rPr>
          <w:sz w:val="20"/>
        </w:rPr>
        <w:drawing>
          <wp:inline distT="0" distB="0" distL="0" distR="0">
            <wp:extent cx="807543" cy="1576482"/>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8" cstate="print"/>
                    <a:stretch>
                      <a:fillRect/>
                    </a:stretch>
                  </pic:blipFill>
                  <pic:spPr>
                    <a:xfrm>
                      <a:off x="0" y="0"/>
                      <a:ext cx="807543" cy="1576482"/>
                    </a:xfrm>
                    <a:prstGeom prst="rect">
                      <a:avLst/>
                    </a:prstGeom>
                  </pic:spPr>
                </pic:pic>
              </a:graphicData>
            </a:graphic>
          </wp:inline>
        </w:drawing>
      </w:r>
      <w:r>
        <w:rPr>
          <w:sz w:val="20"/>
        </w:rPr>
      </w:r>
    </w:p>
    <w:p>
      <w:pPr>
        <w:pStyle w:val="Heading3"/>
        <w:spacing w:before="81"/>
        <w:ind w:left="2404" w:right="2319"/>
        <w:jc w:val="center"/>
      </w:pPr>
      <w:r>
        <w:rPr/>
        <w:t>Figura 10</w:t>
      </w:r>
    </w:p>
    <w:p>
      <w:pPr>
        <w:pStyle w:val="ListParagraph"/>
        <w:numPr>
          <w:ilvl w:val="0"/>
          <w:numId w:val="17"/>
        </w:numPr>
        <w:tabs>
          <w:tab w:pos="440" w:val="left" w:leader="none"/>
        </w:tabs>
        <w:spacing w:line="216" w:lineRule="auto" w:before="25" w:after="0"/>
        <w:ind w:left="439" w:right="51" w:hanging="300"/>
        <w:jc w:val="both"/>
        <w:rPr>
          <w:sz w:val="16"/>
        </w:rPr>
      </w:pPr>
      <w:r>
        <w:rPr>
          <w:sz w:val="16"/>
        </w:rPr>
        <w:t>Retirar de aire para igualar la presión en el vial tirando hacia atrás ligeramente del émbolo. Posteriormente, retirar la aguja del vial. Enganche el dispositivo de seguridad de aguja mediante el uso de la técnica de una sola mano (véase la figura 11). Presione suavemente la vaina contra una superficie plana hasta que la aguja está firmemente acoplado en la funda de protección de aguja. confirmar visualmente que la aguja está completamente acoplado en la funda de protección de aguja, y desechar.</w:t>
      </w:r>
    </w:p>
    <w:p>
      <w:pPr>
        <w:pStyle w:val="BodyText"/>
        <w:rPr>
          <w:sz w:val="7"/>
        </w:rPr>
      </w:pPr>
    </w:p>
    <w:p>
      <w:pPr>
        <w:pStyle w:val="BodyText"/>
        <w:ind w:left="1484"/>
        <w:rPr>
          <w:sz w:val="20"/>
        </w:rPr>
      </w:pPr>
      <w:r>
        <w:rPr>
          <w:sz w:val="20"/>
        </w:rPr>
        <w:drawing>
          <wp:inline distT="0" distB="0" distL="0" distR="0">
            <wp:extent cx="1554582" cy="1098137"/>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9" cstate="print"/>
                    <a:stretch>
                      <a:fillRect/>
                    </a:stretch>
                  </pic:blipFill>
                  <pic:spPr>
                    <a:xfrm>
                      <a:off x="0" y="0"/>
                      <a:ext cx="1554582" cy="1098137"/>
                    </a:xfrm>
                    <a:prstGeom prst="rect">
                      <a:avLst/>
                    </a:prstGeom>
                  </pic:spPr>
                </pic:pic>
              </a:graphicData>
            </a:graphic>
          </wp:inline>
        </w:drawing>
      </w:r>
      <w:r>
        <w:rPr>
          <w:sz w:val="20"/>
        </w:rPr>
      </w:r>
    </w:p>
    <w:p>
      <w:pPr>
        <w:pStyle w:val="Heading3"/>
        <w:spacing w:before="89"/>
        <w:ind w:left="2404" w:right="2319"/>
        <w:jc w:val="center"/>
      </w:pPr>
      <w:r>
        <w:rPr/>
        <w:t>Figura 11</w:t>
      </w:r>
    </w:p>
    <w:p>
      <w:pPr>
        <w:pStyle w:val="ListParagraph"/>
        <w:numPr>
          <w:ilvl w:val="0"/>
          <w:numId w:val="17"/>
        </w:numPr>
        <w:tabs>
          <w:tab w:pos="440" w:val="left" w:leader="none"/>
        </w:tabs>
        <w:spacing w:line="220" w:lineRule="auto" w:before="178" w:after="0"/>
        <w:ind w:left="440" w:right="719" w:hanging="300"/>
        <w:jc w:val="both"/>
        <w:rPr>
          <w:sz w:val="16"/>
        </w:rPr>
      </w:pPr>
      <w:r>
        <w:rPr>
          <w:w w:val="84"/>
          <w:sz w:val="16"/>
        </w:rPr>
        <w:br w:type="column"/>
      </w:r>
      <w:r>
        <w:rPr>
          <w:w w:val="95"/>
          <w:sz w:val="16"/>
        </w:rPr>
        <w:t>Agitar el vial vigorosamente durante 30 segundos hasta que la suspensión reconstituida </w:t>
      </w:r>
      <w:r>
        <w:rPr>
          <w:sz w:val="16"/>
        </w:rPr>
        <w:t>aparece uniforme (véase la Figura 12).</w:t>
      </w:r>
    </w:p>
    <w:p>
      <w:pPr>
        <w:pStyle w:val="BodyText"/>
        <w:spacing w:before="5"/>
        <w:rPr>
          <w:sz w:val="9"/>
        </w:rPr>
      </w:pPr>
    </w:p>
    <w:p>
      <w:pPr>
        <w:pStyle w:val="BodyText"/>
        <w:ind w:left="1484"/>
        <w:rPr>
          <w:sz w:val="20"/>
        </w:rPr>
      </w:pPr>
      <w:r>
        <w:rPr>
          <w:sz w:val="20"/>
        </w:rPr>
        <w:drawing>
          <wp:inline distT="0" distB="0" distL="0" distR="0">
            <wp:extent cx="1610025" cy="1110996"/>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20" cstate="print"/>
                    <a:stretch>
                      <a:fillRect/>
                    </a:stretch>
                  </pic:blipFill>
                  <pic:spPr>
                    <a:xfrm>
                      <a:off x="0" y="0"/>
                      <a:ext cx="1610025" cy="1110996"/>
                    </a:xfrm>
                    <a:prstGeom prst="rect">
                      <a:avLst/>
                    </a:prstGeom>
                  </pic:spPr>
                </pic:pic>
              </a:graphicData>
            </a:graphic>
          </wp:inline>
        </w:drawing>
      </w:r>
      <w:r>
        <w:rPr>
          <w:sz w:val="20"/>
        </w:rPr>
      </w:r>
    </w:p>
    <w:p>
      <w:pPr>
        <w:pStyle w:val="Heading3"/>
        <w:spacing w:before="39"/>
        <w:ind w:left="284" w:right="863"/>
        <w:jc w:val="center"/>
      </w:pPr>
      <w:r>
        <w:rPr/>
        <w:t>Figura 12</w:t>
      </w:r>
    </w:p>
    <w:p>
      <w:pPr>
        <w:pStyle w:val="ListParagraph"/>
        <w:numPr>
          <w:ilvl w:val="0"/>
          <w:numId w:val="17"/>
        </w:numPr>
        <w:tabs>
          <w:tab w:pos="440" w:val="left" w:leader="none"/>
        </w:tabs>
        <w:spacing w:line="216" w:lineRule="auto" w:before="25" w:after="0"/>
        <w:ind w:left="439" w:right="716" w:hanging="300"/>
        <w:jc w:val="both"/>
        <w:rPr>
          <w:sz w:val="16"/>
        </w:rPr>
      </w:pPr>
      <w:r>
        <w:rPr>
          <w:sz w:val="16"/>
        </w:rPr>
        <w:t>inspeccionar visualmente la suspensión reconstituida para partículas y decoloración antes de la administración. El reconstituido ABILIFY Mantenim es un uniforme, suspensión homogénea que es opaca y de color blanco lechoso en color.</w:t>
      </w:r>
    </w:p>
    <w:p>
      <w:pPr>
        <w:pStyle w:val="ListParagraph"/>
        <w:numPr>
          <w:ilvl w:val="0"/>
          <w:numId w:val="17"/>
        </w:numPr>
        <w:tabs>
          <w:tab w:pos="440" w:val="left" w:leader="none"/>
        </w:tabs>
        <w:spacing w:line="216" w:lineRule="auto" w:before="27" w:after="0"/>
        <w:ind w:left="439" w:right="717" w:hanging="300"/>
        <w:jc w:val="both"/>
        <w:rPr>
          <w:sz w:val="16"/>
        </w:rPr>
      </w:pPr>
      <w:r>
        <w:rPr>
          <w:w w:val="95"/>
          <w:sz w:val="16"/>
        </w:rPr>
        <w:t>Si la inyección no se realiza inmediatamente después de la reconstitución mantener el vial a temperatura ambiente y agitar el vial vigorosamente durante al menos 60 segundos a </w:t>
      </w:r>
      <w:r>
        <w:rPr>
          <w:sz w:val="16"/>
        </w:rPr>
        <w:t>volver a suspender antes de la inyección.</w:t>
      </w:r>
    </w:p>
    <w:p>
      <w:pPr>
        <w:pStyle w:val="ListParagraph"/>
        <w:numPr>
          <w:ilvl w:val="0"/>
          <w:numId w:val="17"/>
        </w:numPr>
        <w:tabs>
          <w:tab w:pos="440" w:val="left" w:leader="none"/>
        </w:tabs>
        <w:spacing w:line="240" w:lineRule="auto" w:before="41" w:after="0"/>
        <w:ind w:left="439" w:right="0" w:hanging="300"/>
        <w:jc w:val="left"/>
        <w:rPr>
          <w:sz w:val="16"/>
        </w:rPr>
      </w:pPr>
      <w:r>
        <w:rPr>
          <w:sz w:val="16"/>
        </w:rPr>
        <w:t>No guarde la suspensión reconstituida en una jeringa.</w:t>
      </w:r>
    </w:p>
    <w:p>
      <w:pPr>
        <w:pStyle w:val="Heading3"/>
        <w:spacing w:before="82"/>
        <w:ind w:left="139"/>
      </w:pPr>
      <w:r>
        <w:rPr>
          <w:w w:val="95"/>
        </w:rPr>
        <w:t>Preparación antes de la inyección</w:t>
      </w:r>
    </w:p>
    <w:p>
      <w:pPr>
        <w:pStyle w:val="ListParagraph"/>
        <w:numPr>
          <w:ilvl w:val="0"/>
          <w:numId w:val="18"/>
        </w:numPr>
        <w:tabs>
          <w:tab w:pos="440" w:val="left" w:leader="none"/>
        </w:tabs>
        <w:spacing w:line="216" w:lineRule="auto" w:before="24" w:after="0"/>
        <w:ind w:left="439" w:right="717" w:hanging="300"/>
        <w:jc w:val="both"/>
        <w:rPr>
          <w:sz w:val="16"/>
        </w:rPr>
      </w:pPr>
      <w:r>
        <w:rPr>
          <w:w w:val="95"/>
          <w:sz w:val="16"/>
        </w:rPr>
        <w:t>Usar técnicas asépticas apropiados a lo largo de la inyección del reconstituido </w:t>
      </w:r>
      <w:r>
        <w:rPr>
          <w:sz w:val="16"/>
        </w:rPr>
        <w:t>ABILIFY suspensión Mantenim.</w:t>
      </w:r>
    </w:p>
    <w:p>
      <w:pPr>
        <w:pStyle w:val="ListParagraph"/>
        <w:numPr>
          <w:ilvl w:val="0"/>
          <w:numId w:val="18"/>
        </w:numPr>
        <w:tabs>
          <w:tab w:pos="440" w:val="left" w:leader="none"/>
        </w:tabs>
        <w:spacing w:line="220" w:lineRule="auto" w:before="25" w:after="0"/>
        <w:ind w:left="439" w:right="718" w:hanging="300"/>
        <w:jc w:val="both"/>
        <w:rPr>
          <w:sz w:val="16"/>
        </w:rPr>
      </w:pPr>
      <w:r>
        <w:rPr>
          <w:w w:val="90"/>
          <w:sz w:val="16"/>
        </w:rPr>
        <w:t>Retire la cubierta del paquete de adaptador de vial (véase la Figura 13). No retire el adaptador del vial del paquete.</w:t>
      </w:r>
    </w:p>
    <w:p>
      <w:pPr>
        <w:pStyle w:val="BodyText"/>
        <w:spacing w:before="4"/>
        <w:rPr>
          <w:sz w:val="11"/>
        </w:rPr>
      </w:pPr>
      <w:r>
        <w:rPr/>
        <w:drawing>
          <wp:anchor distT="0" distB="0" distL="0" distR="0" allowOverlap="1" layoutInCell="1" locked="0" behindDoc="0" simplePos="0" relativeHeight="6">
            <wp:simplePos x="0" y="0"/>
            <wp:positionH relativeFrom="page">
              <wp:posOffset>5020818</wp:posOffset>
            </wp:positionH>
            <wp:positionV relativeFrom="paragraph">
              <wp:posOffset>107898</wp:posOffset>
            </wp:positionV>
            <wp:extent cx="1221116" cy="1110996"/>
            <wp:effectExtent l="0" t="0" r="0" b="0"/>
            <wp:wrapTopAndBottom/>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21" cstate="print"/>
                    <a:stretch>
                      <a:fillRect/>
                    </a:stretch>
                  </pic:blipFill>
                  <pic:spPr>
                    <a:xfrm>
                      <a:off x="0" y="0"/>
                      <a:ext cx="1221116" cy="1110996"/>
                    </a:xfrm>
                    <a:prstGeom prst="rect">
                      <a:avLst/>
                    </a:prstGeom>
                  </pic:spPr>
                </pic:pic>
              </a:graphicData>
            </a:graphic>
          </wp:anchor>
        </w:drawing>
      </w:r>
    </w:p>
    <w:p>
      <w:pPr>
        <w:pStyle w:val="Heading3"/>
        <w:spacing w:before="36"/>
        <w:ind w:left="284" w:right="863"/>
        <w:jc w:val="center"/>
      </w:pPr>
      <w:r>
        <w:rPr>
          <w:w w:val="90"/>
        </w:rPr>
        <w:t>Figura 13</w:t>
      </w:r>
    </w:p>
    <w:p>
      <w:pPr>
        <w:pStyle w:val="ListParagraph"/>
        <w:numPr>
          <w:ilvl w:val="0"/>
          <w:numId w:val="18"/>
        </w:numPr>
        <w:tabs>
          <w:tab w:pos="440" w:val="left" w:leader="none"/>
        </w:tabs>
        <w:spacing w:line="220" w:lineRule="auto" w:before="21" w:after="0"/>
        <w:ind w:left="439" w:right="718" w:hanging="300"/>
        <w:jc w:val="both"/>
        <w:rPr>
          <w:sz w:val="16"/>
        </w:rPr>
      </w:pPr>
      <w:r>
        <w:rPr>
          <w:w w:val="90"/>
          <w:sz w:val="16"/>
        </w:rPr>
        <w:t>Utilizando el paquete de adaptador de vial para manejar el adaptador del vial, una el preenvasado </w:t>
      </w:r>
      <w:r>
        <w:rPr>
          <w:sz w:val="16"/>
        </w:rPr>
        <w:t>luer de la jeringa de bloqueo al adaptador de vial (véase la Figura 14).</w:t>
      </w:r>
    </w:p>
    <w:p>
      <w:pPr>
        <w:pStyle w:val="BodyText"/>
        <w:spacing w:before="10"/>
        <w:rPr>
          <w:sz w:val="9"/>
        </w:rPr>
      </w:pPr>
      <w:r>
        <w:rPr/>
        <w:drawing>
          <wp:anchor distT="0" distB="0" distL="0" distR="0" allowOverlap="1" layoutInCell="1" locked="0" behindDoc="0" simplePos="0" relativeHeight="7">
            <wp:simplePos x="0" y="0"/>
            <wp:positionH relativeFrom="page">
              <wp:posOffset>5178196</wp:posOffset>
            </wp:positionH>
            <wp:positionV relativeFrom="paragraph">
              <wp:posOffset>96891</wp:posOffset>
            </wp:positionV>
            <wp:extent cx="907116" cy="1139285"/>
            <wp:effectExtent l="0" t="0" r="0" b="0"/>
            <wp:wrapTopAndBottom/>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22" cstate="print"/>
                    <a:stretch>
                      <a:fillRect/>
                    </a:stretch>
                  </pic:blipFill>
                  <pic:spPr>
                    <a:xfrm>
                      <a:off x="0" y="0"/>
                      <a:ext cx="907116" cy="1139285"/>
                    </a:xfrm>
                    <a:prstGeom prst="rect">
                      <a:avLst/>
                    </a:prstGeom>
                  </pic:spPr>
                </pic:pic>
              </a:graphicData>
            </a:graphic>
          </wp:anchor>
        </w:drawing>
      </w:r>
    </w:p>
    <w:p>
      <w:pPr>
        <w:pStyle w:val="Heading3"/>
        <w:ind w:left="284" w:right="863"/>
        <w:jc w:val="center"/>
      </w:pPr>
      <w:r>
        <w:rPr/>
        <w:t>Figura 14</w:t>
      </w:r>
    </w:p>
    <w:p>
      <w:pPr>
        <w:pStyle w:val="ListParagraph"/>
        <w:numPr>
          <w:ilvl w:val="0"/>
          <w:numId w:val="18"/>
        </w:numPr>
        <w:tabs>
          <w:tab w:pos="440" w:val="left" w:leader="none"/>
        </w:tabs>
        <w:spacing w:line="218" w:lineRule="auto" w:before="23" w:after="0"/>
        <w:ind w:left="439" w:right="720" w:hanging="300"/>
        <w:jc w:val="both"/>
        <w:rPr>
          <w:sz w:val="16"/>
        </w:rPr>
      </w:pPr>
      <w:r>
        <w:rPr>
          <w:w w:val="95"/>
          <w:sz w:val="16"/>
        </w:rPr>
        <w:t>Usar la jeringa de bloqueo luer para eliminar el adaptador de vial desde el paquete y desechar el paquete de adaptador de vial (véase la Figura 15). No toque la punta del punzón del adaptador</w:t>
      </w:r>
      <w:r>
        <w:rPr>
          <w:sz w:val="16"/>
          <w:u w:val="single"/>
        </w:rPr>
        <w:t>en cualquier momento</w:t>
      </w:r>
      <w:r>
        <w:rPr>
          <w:spacing w:val="-3"/>
          <w:sz w:val="16"/>
        </w:rPr>
        <w:t>.</w:t>
      </w:r>
    </w:p>
    <w:p>
      <w:pPr>
        <w:pStyle w:val="BodyText"/>
        <w:spacing w:before="6"/>
        <w:rPr>
          <w:sz w:val="5"/>
        </w:rPr>
      </w:pPr>
    </w:p>
    <w:p>
      <w:pPr>
        <w:pStyle w:val="BodyText"/>
        <w:ind w:left="2107"/>
        <w:rPr>
          <w:sz w:val="20"/>
        </w:rPr>
      </w:pPr>
      <w:r>
        <w:rPr>
          <w:sz w:val="20"/>
        </w:rPr>
        <w:drawing>
          <wp:inline distT="0" distB="0" distL="0" distR="0">
            <wp:extent cx="884253" cy="1423034"/>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23" cstate="print"/>
                    <a:stretch>
                      <a:fillRect/>
                    </a:stretch>
                  </pic:blipFill>
                  <pic:spPr>
                    <a:xfrm>
                      <a:off x="0" y="0"/>
                      <a:ext cx="884253" cy="1423034"/>
                    </a:xfrm>
                    <a:prstGeom prst="rect">
                      <a:avLst/>
                    </a:prstGeom>
                  </pic:spPr>
                </pic:pic>
              </a:graphicData>
            </a:graphic>
          </wp:inline>
        </w:drawing>
      </w:r>
      <w:r>
        <w:rPr>
          <w:sz w:val="20"/>
        </w:rPr>
      </w:r>
    </w:p>
    <w:p>
      <w:pPr>
        <w:pStyle w:val="Heading3"/>
        <w:spacing w:before="52"/>
        <w:ind w:left="284" w:right="863"/>
        <w:jc w:val="center"/>
      </w:pPr>
      <w:r>
        <w:rPr/>
        <w:t>Figura 15</w:t>
      </w:r>
    </w:p>
    <w:p>
      <w:pPr>
        <w:pStyle w:val="ListParagraph"/>
        <w:numPr>
          <w:ilvl w:val="0"/>
          <w:numId w:val="18"/>
        </w:numPr>
        <w:tabs>
          <w:tab w:pos="440" w:val="left" w:leader="none"/>
        </w:tabs>
        <w:spacing w:line="240" w:lineRule="auto" w:before="10" w:after="0"/>
        <w:ind w:left="439" w:right="0" w:hanging="300"/>
        <w:jc w:val="left"/>
        <w:rPr>
          <w:sz w:val="16"/>
        </w:rPr>
      </w:pPr>
      <w:r>
        <w:rPr>
          <w:sz w:val="16"/>
        </w:rPr>
        <w:t>Determinar el volumen recomendado para la inyección (Tabla 3).</w:t>
      </w:r>
    </w:p>
    <w:p>
      <w:pPr>
        <w:pStyle w:val="Heading3"/>
        <w:spacing w:before="43"/>
        <w:ind w:left="139"/>
      </w:pPr>
      <w:r>
        <w:rPr/>
        <w:pict>
          <v:shape style="position:absolute;margin-left:312pt;margin-top:12.531904pt;width:264.150pt;height:60.9pt;mso-position-horizontal-relative:page;mso-position-vertical-relative:paragraph;z-index:12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5"/>
                    <w:gridCol w:w="1530"/>
                    <w:gridCol w:w="1123"/>
                    <w:gridCol w:w="1530"/>
                  </w:tblGrid>
                  <w:tr>
                    <w:trPr>
                      <w:trHeight w:val="191" w:hRule="atLeast"/>
                    </w:trPr>
                    <w:tc>
                      <w:tcPr>
                        <w:tcW w:w="2615" w:type="dxa"/>
                        <w:gridSpan w:val="2"/>
                      </w:tcPr>
                      <w:p>
                        <w:pPr>
                          <w:pStyle w:val="TableParagraph"/>
                          <w:spacing w:line="168" w:lineRule="exact" w:before="3"/>
                          <w:ind w:left="842" w:right="833"/>
                          <w:jc w:val="center"/>
                          <w:rPr>
                            <w:b/>
                            <w:sz w:val="16"/>
                          </w:rPr>
                        </w:pPr>
                        <w:r>
                          <w:rPr>
                            <w:b/>
                            <w:sz w:val="16"/>
                          </w:rPr>
                          <w:t>400-mg Vial</w:t>
                        </w:r>
                      </w:p>
                    </w:tc>
                    <w:tc>
                      <w:tcPr>
                        <w:tcW w:w="2653" w:type="dxa"/>
                        <w:gridSpan w:val="2"/>
                      </w:tcPr>
                      <w:p>
                        <w:pPr>
                          <w:pStyle w:val="TableParagraph"/>
                          <w:spacing w:line="168" w:lineRule="exact" w:before="3"/>
                          <w:ind w:left="861" w:right="852"/>
                          <w:jc w:val="center"/>
                          <w:rPr>
                            <w:b/>
                            <w:sz w:val="16"/>
                          </w:rPr>
                        </w:pPr>
                        <w:r>
                          <w:rPr>
                            <w:b/>
                            <w:sz w:val="16"/>
                          </w:rPr>
                          <w:t>300-mg Vial</w:t>
                        </w:r>
                      </w:p>
                    </w:tc>
                  </w:tr>
                  <w:tr>
                    <w:trPr>
                      <w:trHeight w:val="191" w:hRule="atLeast"/>
                    </w:trPr>
                    <w:tc>
                      <w:tcPr>
                        <w:tcW w:w="1085" w:type="dxa"/>
                      </w:tcPr>
                      <w:p>
                        <w:pPr>
                          <w:pStyle w:val="TableParagraph"/>
                          <w:spacing w:line="168" w:lineRule="exact" w:before="3"/>
                          <w:ind w:left="255" w:right="246"/>
                          <w:jc w:val="center"/>
                          <w:rPr>
                            <w:sz w:val="16"/>
                          </w:rPr>
                        </w:pPr>
                        <w:r>
                          <w:rPr>
                            <w:w w:val="95"/>
                            <w:sz w:val="16"/>
                          </w:rPr>
                          <w:t>Dosis</w:t>
                        </w:r>
                      </w:p>
                    </w:tc>
                    <w:tc>
                      <w:tcPr>
                        <w:tcW w:w="1530" w:type="dxa"/>
                      </w:tcPr>
                      <w:p>
                        <w:pPr>
                          <w:pStyle w:val="TableParagraph"/>
                          <w:spacing w:line="168" w:lineRule="exact" w:before="3"/>
                          <w:ind w:left="170" w:right="161"/>
                          <w:jc w:val="center"/>
                          <w:rPr>
                            <w:sz w:val="16"/>
                          </w:rPr>
                        </w:pPr>
                        <w:r>
                          <w:rPr>
                            <w:sz w:val="16"/>
                          </w:rPr>
                          <w:t>Inyectar el volumen de</w:t>
                        </w:r>
                      </w:p>
                    </w:tc>
                    <w:tc>
                      <w:tcPr>
                        <w:tcW w:w="1123" w:type="dxa"/>
                      </w:tcPr>
                      <w:p>
                        <w:pPr>
                          <w:pStyle w:val="TableParagraph"/>
                          <w:spacing w:line="168" w:lineRule="exact" w:before="3"/>
                          <w:ind w:left="274" w:right="265"/>
                          <w:jc w:val="center"/>
                          <w:rPr>
                            <w:sz w:val="16"/>
                          </w:rPr>
                        </w:pPr>
                        <w:r>
                          <w:rPr>
                            <w:w w:val="95"/>
                            <w:sz w:val="16"/>
                          </w:rPr>
                          <w:t>Dosis</w:t>
                        </w:r>
                      </w:p>
                    </w:tc>
                    <w:tc>
                      <w:tcPr>
                        <w:tcW w:w="1530" w:type="dxa"/>
                      </w:tcPr>
                      <w:p>
                        <w:pPr>
                          <w:pStyle w:val="TableParagraph"/>
                          <w:spacing w:line="168" w:lineRule="exact" w:before="3"/>
                          <w:ind w:left="170" w:right="161"/>
                          <w:jc w:val="center"/>
                          <w:rPr>
                            <w:sz w:val="16"/>
                          </w:rPr>
                        </w:pPr>
                        <w:r>
                          <w:rPr>
                            <w:sz w:val="16"/>
                          </w:rPr>
                          <w:t>Inyectar el volumen de</w:t>
                        </w:r>
                      </w:p>
                    </w:tc>
                  </w:tr>
                  <w:tr>
                    <w:trPr>
                      <w:trHeight w:val="191" w:hRule="atLeast"/>
                    </w:trPr>
                    <w:tc>
                      <w:tcPr>
                        <w:tcW w:w="1085" w:type="dxa"/>
                      </w:tcPr>
                      <w:p>
                        <w:pPr>
                          <w:pStyle w:val="TableParagraph"/>
                          <w:spacing w:line="168" w:lineRule="exact" w:before="3"/>
                          <w:ind w:left="255" w:right="246"/>
                          <w:jc w:val="center"/>
                          <w:rPr>
                            <w:sz w:val="16"/>
                          </w:rPr>
                        </w:pPr>
                        <w:r>
                          <w:rPr>
                            <w:sz w:val="16"/>
                          </w:rPr>
                          <w:t>400 mg</w:t>
                        </w:r>
                      </w:p>
                    </w:tc>
                    <w:tc>
                      <w:tcPr>
                        <w:tcW w:w="1530" w:type="dxa"/>
                      </w:tcPr>
                      <w:p>
                        <w:pPr>
                          <w:pStyle w:val="TableParagraph"/>
                          <w:spacing w:line="168" w:lineRule="exact" w:before="3"/>
                          <w:ind w:left="170" w:right="161"/>
                          <w:jc w:val="center"/>
                          <w:rPr>
                            <w:sz w:val="16"/>
                          </w:rPr>
                        </w:pPr>
                        <w:r>
                          <w:rPr>
                            <w:sz w:val="16"/>
                          </w:rPr>
                          <w:t>2 ml</w:t>
                        </w:r>
                      </w:p>
                    </w:tc>
                    <w:tc>
                      <w:tcPr>
                        <w:tcW w:w="1123" w:type="dxa"/>
                      </w:tcPr>
                      <w:p>
                        <w:pPr>
                          <w:pStyle w:val="TableParagraph"/>
                          <w:spacing w:line="168" w:lineRule="exact" w:before="3"/>
                          <w:ind w:left="274" w:right="265"/>
                          <w:jc w:val="center"/>
                          <w:rPr>
                            <w:sz w:val="16"/>
                          </w:rPr>
                        </w:pPr>
                        <w:r>
                          <w:rPr>
                            <w:sz w:val="16"/>
                          </w:rPr>
                          <w:t>---</w:t>
                        </w:r>
                      </w:p>
                    </w:tc>
                    <w:tc>
                      <w:tcPr>
                        <w:tcW w:w="1530" w:type="dxa"/>
                      </w:tcPr>
                      <w:p>
                        <w:pPr>
                          <w:pStyle w:val="TableParagraph"/>
                          <w:spacing w:line="168" w:lineRule="exact" w:before="3"/>
                          <w:ind w:left="170" w:right="161"/>
                          <w:jc w:val="center"/>
                          <w:rPr>
                            <w:sz w:val="16"/>
                          </w:rPr>
                        </w:pPr>
                        <w:r>
                          <w:rPr>
                            <w:sz w:val="16"/>
                          </w:rPr>
                          <w:t>---</w:t>
                        </w:r>
                      </w:p>
                    </w:tc>
                  </w:tr>
                  <w:tr>
                    <w:trPr>
                      <w:trHeight w:val="191" w:hRule="atLeast"/>
                    </w:trPr>
                    <w:tc>
                      <w:tcPr>
                        <w:tcW w:w="1085" w:type="dxa"/>
                      </w:tcPr>
                      <w:p>
                        <w:pPr>
                          <w:pStyle w:val="TableParagraph"/>
                          <w:spacing w:line="168" w:lineRule="exact" w:before="3"/>
                          <w:ind w:left="255" w:right="246"/>
                          <w:jc w:val="center"/>
                          <w:rPr>
                            <w:sz w:val="16"/>
                          </w:rPr>
                        </w:pPr>
                        <w:r>
                          <w:rPr>
                            <w:sz w:val="16"/>
                          </w:rPr>
                          <w:t>300 mg</w:t>
                        </w:r>
                      </w:p>
                    </w:tc>
                    <w:tc>
                      <w:tcPr>
                        <w:tcW w:w="1530" w:type="dxa"/>
                      </w:tcPr>
                      <w:p>
                        <w:pPr>
                          <w:pStyle w:val="TableParagraph"/>
                          <w:spacing w:line="168" w:lineRule="exact" w:before="3"/>
                          <w:ind w:left="542"/>
                          <w:rPr>
                            <w:sz w:val="16"/>
                          </w:rPr>
                        </w:pPr>
                        <w:r>
                          <w:rPr>
                            <w:sz w:val="16"/>
                          </w:rPr>
                          <w:t>1,5 ml</w:t>
                        </w:r>
                      </w:p>
                    </w:tc>
                    <w:tc>
                      <w:tcPr>
                        <w:tcW w:w="1123" w:type="dxa"/>
                      </w:tcPr>
                      <w:p>
                        <w:pPr>
                          <w:pStyle w:val="TableParagraph"/>
                          <w:spacing w:line="168" w:lineRule="exact" w:before="3"/>
                          <w:ind w:left="274" w:right="265"/>
                          <w:jc w:val="center"/>
                          <w:rPr>
                            <w:sz w:val="16"/>
                          </w:rPr>
                        </w:pPr>
                        <w:r>
                          <w:rPr>
                            <w:sz w:val="16"/>
                          </w:rPr>
                          <w:t>300 mg</w:t>
                        </w:r>
                      </w:p>
                    </w:tc>
                    <w:tc>
                      <w:tcPr>
                        <w:tcW w:w="1530" w:type="dxa"/>
                      </w:tcPr>
                      <w:p>
                        <w:pPr>
                          <w:pStyle w:val="TableParagraph"/>
                          <w:spacing w:line="168" w:lineRule="exact" w:before="3"/>
                          <w:ind w:left="542"/>
                          <w:rPr>
                            <w:sz w:val="16"/>
                          </w:rPr>
                        </w:pPr>
                        <w:r>
                          <w:rPr>
                            <w:sz w:val="16"/>
                          </w:rPr>
                          <w:t>1,5 ml</w:t>
                        </w:r>
                      </w:p>
                    </w:tc>
                  </w:tr>
                  <w:tr>
                    <w:trPr>
                      <w:trHeight w:val="191" w:hRule="atLeast"/>
                    </w:trPr>
                    <w:tc>
                      <w:tcPr>
                        <w:tcW w:w="1085" w:type="dxa"/>
                      </w:tcPr>
                      <w:p>
                        <w:pPr>
                          <w:pStyle w:val="TableParagraph"/>
                          <w:spacing w:line="168" w:lineRule="exact" w:before="3"/>
                          <w:ind w:left="255" w:right="246"/>
                          <w:jc w:val="center"/>
                          <w:rPr>
                            <w:sz w:val="16"/>
                          </w:rPr>
                        </w:pPr>
                        <w:r>
                          <w:rPr>
                            <w:sz w:val="16"/>
                          </w:rPr>
                          <w:t>200 mg</w:t>
                        </w:r>
                      </w:p>
                    </w:tc>
                    <w:tc>
                      <w:tcPr>
                        <w:tcW w:w="1530" w:type="dxa"/>
                      </w:tcPr>
                      <w:p>
                        <w:pPr>
                          <w:pStyle w:val="TableParagraph"/>
                          <w:spacing w:line="168" w:lineRule="exact" w:before="3"/>
                          <w:ind w:left="170" w:right="161"/>
                          <w:jc w:val="center"/>
                          <w:rPr>
                            <w:sz w:val="16"/>
                          </w:rPr>
                        </w:pPr>
                        <w:r>
                          <w:rPr>
                            <w:sz w:val="16"/>
                          </w:rPr>
                          <w:t>1 ml</w:t>
                        </w:r>
                      </w:p>
                    </w:tc>
                    <w:tc>
                      <w:tcPr>
                        <w:tcW w:w="1123" w:type="dxa"/>
                      </w:tcPr>
                      <w:p>
                        <w:pPr>
                          <w:pStyle w:val="TableParagraph"/>
                          <w:spacing w:line="168" w:lineRule="exact" w:before="3"/>
                          <w:ind w:left="274" w:right="265"/>
                          <w:jc w:val="center"/>
                          <w:rPr>
                            <w:sz w:val="16"/>
                          </w:rPr>
                        </w:pPr>
                        <w:r>
                          <w:rPr>
                            <w:sz w:val="16"/>
                          </w:rPr>
                          <w:t>200 mg</w:t>
                        </w:r>
                      </w:p>
                    </w:tc>
                    <w:tc>
                      <w:tcPr>
                        <w:tcW w:w="1530" w:type="dxa"/>
                      </w:tcPr>
                      <w:p>
                        <w:pPr>
                          <w:pStyle w:val="TableParagraph"/>
                          <w:spacing w:line="168" w:lineRule="exact" w:before="3"/>
                          <w:ind w:left="170" w:right="161"/>
                          <w:jc w:val="center"/>
                          <w:rPr>
                            <w:sz w:val="16"/>
                          </w:rPr>
                        </w:pPr>
                        <w:r>
                          <w:rPr>
                            <w:sz w:val="16"/>
                          </w:rPr>
                          <w:t>1 ml</w:t>
                        </w:r>
                      </w:p>
                    </w:tc>
                  </w:tr>
                  <w:tr>
                    <w:trPr>
                      <w:trHeight w:val="191" w:hRule="atLeast"/>
                    </w:trPr>
                    <w:tc>
                      <w:tcPr>
                        <w:tcW w:w="1085" w:type="dxa"/>
                      </w:tcPr>
                      <w:p>
                        <w:pPr>
                          <w:pStyle w:val="TableParagraph"/>
                          <w:spacing w:line="168" w:lineRule="exact" w:before="3"/>
                          <w:ind w:left="255" w:right="246"/>
                          <w:jc w:val="center"/>
                          <w:rPr>
                            <w:sz w:val="16"/>
                          </w:rPr>
                        </w:pPr>
                        <w:r>
                          <w:rPr>
                            <w:sz w:val="16"/>
                          </w:rPr>
                          <w:t>160 mg</w:t>
                        </w:r>
                      </w:p>
                    </w:tc>
                    <w:tc>
                      <w:tcPr>
                        <w:tcW w:w="1530" w:type="dxa"/>
                      </w:tcPr>
                      <w:p>
                        <w:pPr>
                          <w:pStyle w:val="TableParagraph"/>
                          <w:spacing w:line="168" w:lineRule="exact" w:before="3"/>
                          <w:ind w:left="542"/>
                          <w:rPr>
                            <w:sz w:val="16"/>
                          </w:rPr>
                        </w:pPr>
                        <w:r>
                          <w:rPr>
                            <w:sz w:val="16"/>
                          </w:rPr>
                          <w:t>0,8 ml</w:t>
                        </w:r>
                      </w:p>
                    </w:tc>
                    <w:tc>
                      <w:tcPr>
                        <w:tcW w:w="1123" w:type="dxa"/>
                      </w:tcPr>
                      <w:p>
                        <w:pPr>
                          <w:pStyle w:val="TableParagraph"/>
                          <w:spacing w:line="168" w:lineRule="exact" w:before="3"/>
                          <w:ind w:left="274" w:right="265"/>
                          <w:jc w:val="center"/>
                          <w:rPr>
                            <w:sz w:val="16"/>
                          </w:rPr>
                        </w:pPr>
                        <w:r>
                          <w:rPr>
                            <w:sz w:val="16"/>
                          </w:rPr>
                          <w:t>160 mg</w:t>
                        </w:r>
                      </w:p>
                    </w:tc>
                    <w:tc>
                      <w:tcPr>
                        <w:tcW w:w="1530" w:type="dxa"/>
                      </w:tcPr>
                      <w:p>
                        <w:pPr>
                          <w:pStyle w:val="TableParagraph"/>
                          <w:spacing w:line="168" w:lineRule="exact" w:before="3"/>
                          <w:ind w:left="542"/>
                          <w:rPr>
                            <w:sz w:val="16"/>
                          </w:rPr>
                        </w:pPr>
                        <w:r>
                          <w:rPr>
                            <w:sz w:val="16"/>
                          </w:rPr>
                          <w:t>0,8 ml</w:t>
                        </w:r>
                      </w:p>
                    </w:tc>
                  </w:tr>
                </w:tbl>
                <w:p>
                  <w:pPr>
                    <w:pStyle w:val="BodyText"/>
                  </w:pPr>
                </w:p>
              </w:txbxContent>
            </v:textbox>
            <w10:wrap type="none"/>
          </v:shape>
        </w:pict>
      </w:r>
      <w:r>
        <w:rPr>
          <w:w w:val="95"/>
        </w:rPr>
        <w:t>Tabla 3: ABILIFY Mantenim reconstituido volumen de la suspensión a Inyectar</w:t>
      </w:r>
    </w:p>
    <w:p>
      <w:pPr>
        <w:spacing w:after="0"/>
        <w:sectPr>
          <w:pgSz w:w="12240" w:h="15840"/>
          <w:pgMar w:header="676" w:footer="367" w:top="860" w:bottom="620" w:left="580" w:right="0"/>
          <w:cols w:num="2" w:equalWidth="0">
            <w:col w:w="5475" w:space="45"/>
            <w:col w:w="6140"/>
          </w:cols>
        </w:sectPr>
      </w:pPr>
    </w:p>
    <w:p>
      <w:pPr>
        <w:pStyle w:val="BodyText"/>
        <w:spacing w:before="9"/>
        <w:rPr>
          <w:b/>
          <w:sz w:val="15"/>
        </w:rPr>
      </w:pPr>
    </w:p>
    <w:p>
      <w:pPr>
        <w:pStyle w:val="ListParagraph"/>
        <w:numPr>
          <w:ilvl w:val="0"/>
          <w:numId w:val="18"/>
        </w:numPr>
        <w:tabs>
          <w:tab w:pos="439" w:val="left" w:leader="none"/>
          <w:tab w:pos="440" w:val="left" w:leader="none"/>
        </w:tabs>
        <w:spacing w:line="216" w:lineRule="auto" w:before="0" w:after="0"/>
        <w:ind w:left="440" w:right="38" w:hanging="300"/>
        <w:jc w:val="left"/>
        <w:rPr>
          <w:sz w:val="16"/>
        </w:rPr>
      </w:pPr>
      <w:r>
        <w:rPr>
          <w:w w:val="95"/>
          <w:sz w:val="16"/>
        </w:rPr>
        <w:t>Limpiar la parte superior del vial de la suspensión ABILIFY Mantenim reconstituido </w:t>
      </w:r>
      <w:r>
        <w:rPr>
          <w:sz w:val="16"/>
        </w:rPr>
        <w:t>con un hisopo estéril alcohol.</w:t>
      </w:r>
    </w:p>
    <w:p>
      <w:pPr>
        <w:pStyle w:val="ListParagraph"/>
        <w:numPr>
          <w:ilvl w:val="0"/>
          <w:numId w:val="18"/>
        </w:numPr>
        <w:tabs>
          <w:tab w:pos="440" w:val="left" w:leader="none"/>
        </w:tabs>
        <w:spacing w:line="218" w:lineRule="auto" w:before="26" w:after="0"/>
        <w:ind w:left="439" w:right="38" w:hanging="299"/>
        <w:jc w:val="both"/>
        <w:rPr>
          <w:sz w:val="16"/>
        </w:rPr>
      </w:pPr>
      <w:r>
        <w:rPr>
          <w:w w:val="90"/>
          <w:sz w:val="16"/>
        </w:rPr>
        <w:t>Colocar y mantener el vial de la suspensión reconstituida ABILIFY Mantenim sobre una superficie dura. Fije el conjunto adaptador de jeringa al vial mediante la celebración de la parte exterior del adaptador y empujando pico del adaptador firmemente a través de la goma</w:t>
      </w:r>
      <w:r>
        <w:rPr>
          <w:sz w:val="16"/>
        </w:rPr>
        <w:t>tapón, hasta que el adaptador encaje en su lugar (ver Figura 16).</w:t>
      </w:r>
    </w:p>
    <w:p>
      <w:pPr>
        <w:pStyle w:val="BodyText"/>
        <w:spacing w:before="9"/>
        <w:rPr>
          <w:sz w:val="4"/>
        </w:rPr>
      </w:pPr>
    </w:p>
    <w:p>
      <w:pPr>
        <w:pStyle w:val="BodyText"/>
        <w:ind w:left="2195"/>
        <w:rPr>
          <w:sz w:val="20"/>
        </w:rPr>
      </w:pPr>
      <w:r>
        <w:rPr>
          <w:sz w:val="20"/>
        </w:rPr>
        <w:drawing>
          <wp:inline distT="0" distB="0" distL="0" distR="0">
            <wp:extent cx="756940" cy="1147000"/>
            <wp:effectExtent l="0" t="0" r="0" b="0"/>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4" cstate="print"/>
                    <a:stretch>
                      <a:fillRect/>
                    </a:stretch>
                  </pic:blipFill>
                  <pic:spPr>
                    <a:xfrm>
                      <a:off x="0" y="0"/>
                      <a:ext cx="756940" cy="1147000"/>
                    </a:xfrm>
                    <a:prstGeom prst="rect">
                      <a:avLst/>
                    </a:prstGeom>
                  </pic:spPr>
                </pic:pic>
              </a:graphicData>
            </a:graphic>
          </wp:inline>
        </w:drawing>
      </w:r>
      <w:r>
        <w:rPr>
          <w:sz w:val="20"/>
        </w:rPr>
      </w:r>
    </w:p>
    <w:p>
      <w:pPr>
        <w:pStyle w:val="Heading3"/>
        <w:spacing w:before="83"/>
        <w:ind w:left="99"/>
        <w:jc w:val="center"/>
      </w:pPr>
      <w:r>
        <w:rPr/>
        <w:t>Figura 16</w:t>
      </w:r>
    </w:p>
    <w:p>
      <w:pPr>
        <w:pStyle w:val="ListParagraph"/>
        <w:numPr>
          <w:ilvl w:val="0"/>
          <w:numId w:val="18"/>
        </w:numPr>
        <w:tabs>
          <w:tab w:pos="440" w:val="left" w:leader="none"/>
        </w:tabs>
        <w:spacing w:line="218" w:lineRule="auto" w:before="41" w:after="0"/>
        <w:ind w:left="439" w:right="41" w:hanging="300"/>
        <w:jc w:val="both"/>
        <w:rPr>
          <w:sz w:val="16"/>
        </w:rPr>
      </w:pPr>
      <w:r>
        <w:rPr>
          <w:spacing w:val="-4"/>
          <w:w w:val="95"/>
          <w:sz w:val="16"/>
        </w:rPr>
        <w:t>Retire lentamente el volumen recomendado del vial a la jeringa luer lock </w:t>
      </w:r>
      <w:r>
        <w:rPr>
          <w:w w:val="95"/>
          <w:sz w:val="16"/>
        </w:rPr>
        <w:t>para permitir la inyección (véase la Figura 17). Una pequeña cantidad de exceso de producto se mantendrá</w:t>
      </w:r>
      <w:r>
        <w:rPr>
          <w:sz w:val="16"/>
          <w:u w:val="single"/>
        </w:rPr>
        <w:t>en el vial.</w:t>
      </w:r>
    </w:p>
    <w:p>
      <w:pPr>
        <w:pStyle w:val="BodyText"/>
        <w:spacing w:before="5"/>
        <w:rPr>
          <w:sz w:val="2"/>
        </w:rPr>
      </w:pPr>
    </w:p>
    <w:p>
      <w:pPr>
        <w:pStyle w:val="BodyText"/>
        <w:ind w:left="2229"/>
        <w:rPr>
          <w:sz w:val="20"/>
        </w:rPr>
      </w:pPr>
      <w:r>
        <w:rPr>
          <w:sz w:val="20"/>
        </w:rPr>
        <w:drawing>
          <wp:inline distT="0" distB="0" distL="0" distR="0">
            <wp:extent cx="684062" cy="1116139"/>
            <wp:effectExtent l="0" t="0" r="0" b="0"/>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5" cstate="print"/>
                    <a:stretch>
                      <a:fillRect/>
                    </a:stretch>
                  </pic:blipFill>
                  <pic:spPr>
                    <a:xfrm>
                      <a:off x="0" y="0"/>
                      <a:ext cx="684062" cy="1116139"/>
                    </a:xfrm>
                    <a:prstGeom prst="rect">
                      <a:avLst/>
                    </a:prstGeom>
                  </pic:spPr>
                </pic:pic>
              </a:graphicData>
            </a:graphic>
          </wp:inline>
        </w:drawing>
      </w:r>
      <w:r>
        <w:rPr>
          <w:sz w:val="20"/>
        </w:rPr>
      </w:r>
    </w:p>
    <w:p>
      <w:pPr>
        <w:pStyle w:val="Heading3"/>
        <w:spacing w:before="52"/>
        <w:ind w:left="99"/>
        <w:jc w:val="center"/>
      </w:pPr>
      <w:r>
        <w:rPr/>
        <w:t>Figura 17</w:t>
      </w:r>
    </w:p>
    <w:p>
      <w:pPr>
        <w:spacing w:before="10"/>
        <w:ind w:left="139" w:right="0" w:firstLine="0"/>
        <w:jc w:val="left"/>
        <w:rPr>
          <w:b/>
          <w:sz w:val="16"/>
        </w:rPr>
      </w:pPr>
      <w:r>
        <w:rPr>
          <w:b/>
          <w:w w:val="95"/>
          <w:sz w:val="16"/>
        </w:rPr>
        <w:t>Procedimiento de Inyección</w:t>
      </w:r>
    </w:p>
    <w:p>
      <w:pPr>
        <w:pStyle w:val="ListParagraph"/>
        <w:numPr>
          <w:ilvl w:val="0"/>
          <w:numId w:val="19"/>
        </w:numPr>
        <w:tabs>
          <w:tab w:pos="440" w:val="left" w:leader="none"/>
        </w:tabs>
        <w:spacing w:line="216" w:lineRule="auto" w:before="24" w:after="0"/>
        <w:ind w:left="439" w:right="38" w:hanging="300"/>
        <w:jc w:val="left"/>
        <w:rPr>
          <w:sz w:val="16"/>
        </w:rPr>
      </w:pPr>
      <w:r>
        <w:rPr>
          <w:sz w:val="16"/>
        </w:rPr>
        <w:t>Separar la jeringa de bloqueo luer que contiene el volumen recomendado de suspensión ABILIFY Mantenim reconstituido del vial.</w:t>
      </w:r>
    </w:p>
    <w:p>
      <w:pPr>
        <w:pStyle w:val="ListParagraph"/>
        <w:numPr>
          <w:ilvl w:val="0"/>
          <w:numId w:val="19"/>
        </w:numPr>
        <w:tabs>
          <w:tab w:pos="440" w:val="left" w:leader="none"/>
        </w:tabs>
        <w:spacing w:line="216" w:lineRule="auto" w:before="28" w:after="0"/>
        <w:ind w:left="439" w:right="39" w:hanging="300"/>
        <w:jc w:val="both"/>
        <w:rPr>
          <w:sz w:val="16"/>
        </w:rPr>
      </w:pPr>
      <w:r>
        <w:rPr>
          <w:w w:val="90"/>
          <w:sz w:val="16"/>
        </w:rPr>
        <w:t>Seleccione la aguja de seguridad hipodérmica apropiado y adjuntar la aguja a la jeringa de bloqueo luer que contiene la suspensión para inyección. Mientras sostiene la tapa de la aguja, asegurarse de que la aguja está firmemente asentado en el dispositivo de seguridad con un empuje. Girar en sentido horario hasta perfectamente equipado y tire de la tapa de la aguja recta lejos de la</w:t>
      </w:r>
      <w:r>
        <w:rPr>
          <w:sz w:val="16"/>
        </w:rPr>
        <w:t>aguja (ver Figura 18).</w:t>
      </w:r>
    </w:p>
    <w:p>
      <w:pPr>
        <w:pStyle w:val="BodyText"/>
        <w:spacing w:line="174" w:lineRule="exact" w:before="25"/>
        <w:ind w:left="139"/>
      </w:pPr>
      <w:r>
        <w:rPr/>
        <w:t>Para la administración deltoides:</w:t>
      </w:r>
    </w:p>
    <w:p>
      <w:pPr>
        <w:pStyle w:val="ListParagraph"/>
        <w:numPr>
          <w:ilvl w:val="1"/>
          <w:numId w:val="19"/>
        </w:numPr>
        <w:tabs>
          <w:tab w:pos="859" w:val="left" w:leader="none"/>
          <w:tab w:pos="860" w:val="left" w:leader="none"/>
        </w:tabs>
        <w:spacing w:line="216" w:lineRule="auto" w:before="6" w:after="0"/>
        <w:ind w:left="859" w:right="38" w:hanging="420"/>
        <w:jc w:val="left"/>
        <w:rPr>
          <w:sz w:val="16"/>
        </w:rPr>
      </w:pPr>
      <w:r>
        <w:rPr>
          <w:sz w:val="16"/>
        </w:rPr>
        <w:t>De calibre 23, de 1 pulgada (25 mm) de aguja de seguridad hipodérmica con dispositivo de protección de aguja para los pacientes no obesos</w:t>
      </w:r>
    </w:p>
    <w:p>
      <w:pPr>
        <w:pStyle w:val="ListParagraph"/>
        <w:numPr>
          <w:ilvl w:val="1"/>
          <w:numId w:val="19"/>
        </w:numPr>
        <w:tabs>
          <w:tab w:pos="859" w:val="left" w:leader="none"/>
          <w:tab w:pos="860" w:val="left" w:leader="none"/>
        </w:tabs>
        <w:spacing w:line="216" w:lineRule="auto" w:before="27" w:after="0"/>
        <w:ind w:left="859" w:right="38" w:hanging="420"/>
        <w:jc w:val="left"/>
        <w:rPr>
          <w:sz w:val="16"/>
        </w:rPr>
      </w:pPr>
      <w:r>
        <w:rPr>
          <w:w w:val="95"/>
          <w:sz w:val="16"/>
        </w:rPr>
        <w:t>De calibre 22, de 1,5 pulgadas (38 mm) de aguja de seguridad hipodérmica con la aguja </w:t>
      </w:r>
      <w:r>
        <w:rPr>
          <w:sz w:val="16"/>
        </w:rPr>
        <w:t>Dispositivo de protección para los pacientes obesos</w:t>
      </w:r>
    </w:p>
    <w:p>
      <w:pPr>
        <w:pStyle w:val="BodyText"/>
        <w:spacing w:line="182" w:lineRule="exact" w:before="13"/>
        <w:ind w:left="139"/>
      </w:pPr>
      <w:r>
        <w:rPr/>
        <w:t>Para la administración de los glúteos:</w:t>
      </w:r>
    </w:p>
    <w:p>
      <w:pPr>
        <w:pStyle w:val="ListParagraph"/>
        <w:numPr>
          <w:ilvl w:val="1"/>
          <w:numId w:val="19"/>
        </w:numPr>
        <w:tabs>
          <w:tab w:pos="859" w:val="left" w:leader="none"/>
          <w:tab w:pos="860" w:val="left" w:leader="none"/>
        </w:tabs>
        <w:spacing w:line="216" w:lineRule="auto" w:before="12" w:after="0"/>
        <w:ind w:left="859" w:right="38" w:hanging="420"/>
        <w:jc w:val="left"/>
        <w:rPr>
          <w:sz w:val="16"/>
        </w:rPr>
      </w:pPr>
      <w:r>
        <w:rPr>
          <w:w w:val="95"/>
          <w:sz w:val="16"/>
        </w:rPr>
        <w:t>De calibre 22, de 1,5 pulgadas (38 mm) de aguja de seguridad hipodérmica con la aguja </w:t>
      </w:r>
      <w:r>
        <w:rPr>
          <w:sz w:val="16"/>
        </w:rPr>
        <w:t>Dispositivo de protección para los pacientes no obesos</w:t>
      </w:r>
    </w:p>
    <w:p>
      <w:pPr>
        <w:pStyle w:val="ListParagraph"/>
        <w:numPr>
          <w:ilvl w:val="1"/>
          <w:numId w:val="19"/>
        </w:numPr>
        <w:tabs>
          <w:tab w:pos="859" w:val="left" w:leader="none"/>
          <w:tab w:pos="860" w:val="left" w:leader="none"/>
        </w:tabs>
        <w:spacing w:line="220" w:lineRule="auto" w:before="0" w:after="0"/>
        <w:ind w:left="859" w:right="38" w:hanging="420"/>
        <w:jc w:val="left"/>
        <w:rPr>
          <w:sz w:val="16"/>
        </w:rPr>
      </w:pPr>
      <w:r>
        <w:rPr>
          <w:sz w:val="16"/>
        </w:rPr>
        <w:t>De calibre 21, de 2 pulgadas (51 mm) de aguja de seguridad hipodérmica con dispositivo de protección de aguja para los pacientes obesos</w:t>
      </w:r>
    </w:p>
    <w:p>
      <w:pPr>
        <w:pStyle w:val="BodyText"/>
        <w:spacing w:before="10"/>
        <w:rPr>
          <w:sz w:val="6"/>
        </w:rPr>
      </w:pPr>
    </w:p>
    <w:p>
      <w:pPr>
        <w:pStyle w:val="BodyText"/>
        <w:ind w:left="1931"/>
        <w:rPr>
          <w:sz w:val="20"/>
        </w:rPr>
      </w:pPr>
      <w:r>
        <w:rPr>
          <w:sz w:val="20"/>
        </w:rPr>
        <w:drawing>
          <wp:inline distT="0" distB="0" distL="0" distR="0">
            <wp:extent cx="1061670" cy="1167574"/>
            <wp:effectExtent l="0" t="0" r="0" b="0"/>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6" cstate="print"/>
                    <a:stretch>
                      <a:fillRect/>
                    </a:stretch>
                  </pic:blipFill>
                  <pic:spPr>
                    <a:xfrm>
                      <a:off x="0" y="0"/>
                      <a:ext cx="1061670" cy="1167574"/>
                    </a:xfrm>
                    <a:prstGeom prst="rect">
                      <a:avLst/>
                    </a:prstGeom>
                  </pic:spPr>
                </pic:pic>
              </a:graphicData>
            </a:graphic>
          </wp:inline>
        </w:drawing>
      </w:r>
      <w:r>
        <w:rPr>
          <w:sz w:val="20"/>
        </w:rPr>
      </w:r>
    </w:p>
    <w:p>
      <w:pPr>
        <w:pStyle w:val="Heading3"/>
        <w:spacing w:before="151"/>
        <w:ind w:left="99"/>
        <w:jc w:val="center"/>
      </w:pPr>
      <w:r>
        <w:rPr/>
        <w:t>Figura 18</w:t>
      </w:r>
    </w:p>
    <w:p>
      <w:pPr>
        <w:pStyle w:val="BodyText"/>
        <w:spacing w:line="216" w:lineRule="auto" w:before="32"/>
        <w:ind w:left="439" w:hanging="300"/>
      </w:pPr>
      <w:r>
        <w:rPr>
          <w:w w:val="90"/>
        </w:rPr>
        <w:t>(C) inyectar lentamente el volumen recomendado como una sola inyección intramuscular en el </w:t>
      </w:r>
      <w:r>
        <w:rPr/>
        <w:t>deltoides o músculo glúteo. No masajee el sitio de la inyección.</w:t>
      </w:r>
    </w:p>
    <w:p>
      <w:pPr>
        <w:pStyle w:val="Heading3"/>
        <w:spacing w:line="182" w:lineRule="exact" w:before="41"/>
        <w:ind w:left="139"/>
      </w:pPr>
      <w:r>
        <w:rPr>
          <w:w w:val="95"/>
        </w:rPr>
        <w:t>Procedimiento de eliminación</w:t>
      </w:r>
    </w:p>
    <w:p>
      <w:pPr>
        <w:pStyle w:val="ListParagraph"/>
        <w:numPr>
          <w:ilvl w:val="0"/>
          <w:numId w:val="20"/>
        </w:numPr>
        <w:tabs>
          <w:tab w:pos="440" w:val="left" w:leader="none"/>
        </w:tabs>
        <w:spacing w:line="216" w:lineRule="auto" w:before="13" w:after="0"/>
        <w:ind w:left="439" w:right="38" w:hanging="300"/>
        <w:jc w:val="both"/>
        <w:rPr>
          <w:b/>
          <w:sz w:val="16"/>
        </w:rPr>
      </w:pPr>
      <w:r>
        <w:rPr>
          <w:sz w:val="16"/>
        </w:rPr>
        <w:t>Engage el dispositivo de seguridad de aguja como se describe en la Sección 2.6, la etapa (d) de reconstitución de polvo liofilizado en vial y desechar de forma segura todos los componentes del kit (véase la Figura 8). Desechar de los viales, adaptador, agujas, y una jeringa apropiada después de la inyección. El agua estéril para inyección y ABILIFY Mantenim viales son para un solo uso.</w:t>
      </w:r>
    </w:p>
    <w:p>
      <w:pPr>
        <w:pStyle w:val="ListParagraph"/>
        <w:numPr>
          <w:ilvl w:val="0"/>
          <w:numId w:val="20"/>
        </w:numPr>
        <w:tabs>
          <w:tab w:pos="440" w:val="left" w:leader="none"/>
        </w:tabs>
        <w:spacing w:line="240" w:lineRule="auto" w:before="11" w:after="0"/>
        <w:ind w:left="439" w:right="0" w:hanging="300"/>
        <w:jc w:val="left"/>
        <w:rPr>
          <w:sz w:val="16"/>
        </w:rPr>
      </w:pPr>
      <w:r>
        <w:rPr>
          <w:sz w:val="16"/>
        </w:rPr>
        <w:t>Rotar los sitios de inyecciones entre los dos músculos deltoides o en el glúteo.</w:t>
      </w:r>
    </w:p>
    <w:p>
      <w:pPr>
        <w:pStyle w:val="Heading3"/>
        <w:numPr>
          <w:ilvl w:val="0"/>
          <w:numId w:val="11"/>
        </w:numPr>
        <w:tabs>
          <w:tab w:pos="539" w:val="left" w:leader="none"/>
          <w:tab w:pos="540" w:val="left" w:leader="none"/>
        </w:tabs>
        <w:spacing w:line="182" w:lineRule="exact" w:before="53" w:after="0"/>
        <w:ind w:left="539" w:right="0" w:hanging="400"/>
        <w:jc w:val="left"/>
      </w:pPr>
      <w:r>
        <w:rPr>
          <w:w w:val="90"/>
        </w:rPr>
        <w:t>FORMAS FARMACÉUTICAS Y CONCENTRACIONES</w:t>
      </w:r>
    </w:p>
    <w:p>
      <w:pPr>
        <w:spacing w:line="216" w:lineRule="auto" w:before="12"/>
        <w:ind w:left="139" w:right="34" w:firstLine="0"/>
        <w:jc w:val="left"/>
        <w:rPr>
          <w:sz w:val="16"/>
        </w:rPr>
      </w:pPr>
      <w:r>
        <w:rPr>
          <w:i/>
          <w:w w:val="90"/>
          <w:sz w:val="16"/>
        </w:rPr>
        <w:t>Para la suspensión inyectable de liberación prolongada</w:t>
      </w:r>
      <w:r>
        <w:rPr>
          <w:w w:val="90"/>
          <w:sz w:val="16"/>
        </w:rPr>
        <w:t>: 300 mg y 400 mg de polvo liofilizado </w:t>
      </w:r>
      <w:r>
        <w:rPr>
          <w:sz w:val="16"/>
        </w:rPr>
        <w:t>para la reconstitución en:</w:t>
      </w:r>
    </w:p>
    <w:p>
      <w:pPr>
        <w:pStyle w:val="ListParagraph"/>
        <w:numPr>
          <w:ilvl w:val="0"/>
          <w:numId w:val="21"/>
        </w:numPr>
        <w:tabs>
          <w:tab w:pos="440" w:val="left" w:leader="none"/>
        </w:tabs>
        <w:spacing w:line="240" w:lineRule="auto" w:before="13" w:after="0"/>
        <w:ind w:left="439" w:right="0" w:hanging="210"/>
        <w:jc w:val="left"/>
        <w:rPr>
          <w:sz w:val="16"/>
        </w:rPr>
      </w:pPr>
      <w:r>
        <w:rPr>
          <w:sz w:val="16"/>
        </w:rPr>
        <w:t>De dosis única, pre-llenado, la jeringa de doble cámara</w:t>
      </w:r>
    </w:p>
    <w:p>
      <w:pPr>
        <w:pStyle w:val="ListParagraph"/>
        <w:numPr>
          <w:ilvl w:val="0"/>
          <w:numId w:val="21"/>
        </w:numPr>
        <w:tabs>
          <w:tab w:pos="440" w:val="left" w:leader="none"/>
        </w:tabs>
        <w:spacing w:line="240" w:lineRule="auto" w:before="10" w:after="0"/>
        <w:ind w:left="439" w:right="0" w:hanging="210"/>
        <w:jc w:val="left"/>
        <w:rPr>
          <w:sz w:val="16"/>
        </w:rPr>
      </w:pPr>
      <w:r>
        <w:rPr>
          <w:sz w:val="16"/>
        </w:rPr>
        <w:t>vial de dosis única</w:t>
      </w:r>
    </w:p>
    <w:p>
      <w:pPr>
        <w:pStyle w:val="BodyText"/>
        <w:spacing w:line="216" w:lineRule="auto" w:before="24"/>
        <w:ind w:left="139" w:right="30"/>
      </w:pPr>
      <w:r>
        <w:rPr>
          <w:w w:val="90"/>
        </w:rPr>
        <w:t>La suspensión de liberación prolongada inyectable reconstituida es un uniforme, suspensión homogénea que es opaca y de color blanco lechoso en color.</w:t>
      </w:r>
    </w:p>
    <w:p>
      <w:pPr>
        <w:pStyle w:val="Heading3"/>
        <w:numPr>
          <w:ilvl w:val="0"/>
          <w:numId w:val="11"/>
        </w:numPr>
        <w:tabs>
          <w:tab w:pos="540" w:val="left" w:leader="none"/>
        </w:tabs>
        <w:spacing w:line="182" w:lineRule="exact" w:before="166" w:after="0"/>
        <w:ind w:left="539" w:right="0" w:hanging="400"/>
        <w:jc w:val="both"/>
      </w:pPr>
      <w:r>
        <w:rPr>
          <w:w w:val="82"/>
        </w:rPr>
        <w:br w:type="column"/>
      </w:r>
      <w:r>
        <w:rPr>
          <w:w w:val="95"/>
        </w:rPr>
        <w:t>Contraindicaciones</w:t>
      </w:r>
    </w:p>
    <w:p>
      <w:pPr>
        <w:pStyle w:val="BodyText"/>
        <w:spacing w:line="216" w:lineRule="auto" w:before="13"/>
        <w:ind w:left="139" w:right="718"/>
        <w:jc w:val="both"/>
      </w:pPr>
      <w:r>
        <w:rPr>
          <w:w w:val="90"/>
        </w:rPr>
        <w:t>ABILIFY Mantenim está contraindicado en pacientes con hipersensibilidad conocida a aripiprazol. Las reacciones de hipersensibilidad que van desde el prurito / urticaria a anafilaxia han sido reportados en pacientes tratados con aripiprazol [véase Reacciones Adversas (6.1</w:t>
      </w:r>
      <w:r>
        <w:rPr>
          <w:i/>
        </w:rPr>
        <w:t>y 6.2)]</w:t>
      </w:r>
      <w:r>
        <w:rPr/>
        <w:t>.</w:t>
      </w:r>
    </w:p>
    <w:p>
      <w:pPr>
        <w:pStyle w:val="Heading3"/>
        <w:numPr>
          <w:ilvl w:val="0"/>
          <w:numId w:val="11"/>
        </w:numPr>
        <w:tabs>
          <w:tab w:pos="540" w:val="left" w:leader="none"/>
        </w:tabs>
        <w:spacing w:line="240" w:lineRule="auto" w:before="55" w:after="0"/>
        <w:ind w:left="539" w:right="0" w:hanging="400"/>
        <w:jc w:val="both"/>
      </w:pPr>
      <w:r>
        <w:rPr>
          <w:w w:val="95"/>
        </w:rPr>
        <w:t>ADVERTENCIAS Y PRECAUCIONES</w:t>
      </w:r>
    </w:p>
    <w:p>
      <w:pPr>
        <w:pStyle w:val="ListParagraph"/>
        <w:numPr>
          <w:ilvl w:val="1"/>
          <w:numId w:val="11"/>
        </w:numPr>
        <w:tabs>
          <w:tab w:pos="540" w:val="left" w:leader="none"/>
        </w:tabs>
        <w:spacing w:line="218" w:lineRule="auto" w:before="37" w:after="0"/>
        <w:ind w:left="139" w:right="717" w:firstLine="0"/>
        <w:jc w:val="left"/>
        <w:rPr>
          <w:sz w:val="16"/>
        </w:rPr>
      </w:pPr>
      <w:r>
        <w:rPr>
          <w:b/>
          <w:w w:val="90"/>
          <w:sz w:val="16"/>
        </w:rPr>
        <w:t>El aumento de la mortalidad en pacientes ancianos con psicosis relacionada con demencia </w:t>
      </w:r>
      <w:r>
        <w:rPr>
          <w:w w:val="90"/>
          <w:sz w:val="16"/>
        </w:rPr>
        <w:t>Los pacientes ancianos con psicosis relacionada con demencia tratados con fármacos antipsicóticos tienen un mayor riesgo de muerte. Los análisis de 17 ensayos controlados con placebo (duración modal de 10 semanas), en gran medida en pacientes que toman fármacos antipsicóticos atípicos, reveló un riesgo</w:t>
      </w:r>
      <w:r>
        <w:rPr>
          <w:sz w:val="16"/>
        </w:rPr>
        <w:t>de muerte en los pacientes tratados con el fármaco de entre 1,6 y 1,7 veces el riesgo de muerte en los pacientes tratados con placebo. En el transcurso de un ensayo controlado típica de 10 semanas, la tasa de mortalidad en los pacientes tratados con el fármaco fue de aproximadamente 4,5%, en comparación con una tasa de alrededor del 2,6% en el grupo placebo.</w:t>
      </w:r>
    </w:p>
    <w:p>
      <w:pPr>
        <w:pStyle w:val="BodyText"/>
        <w:spacing w:line="216" w:lineRule="auto" w:before="25"/>
        <w:ind w:left="139" w:right="717"/>
        <w:jc w:val="both"/>
      </w:pPr>
      <w:r>
        <w:rPr>
          <w:w w:val="95"/>
        </w:rPr>
        <w:t>A pesar de que se variaron las causas de la muerte, la mayoría de las muertes parecieron ser de naturaleza cardiovascular (por ejemplo, insuficiencia cardíaca, muerte súbita) o infecciosas (por ejemplo, neumonía) en la naturaleza. Los estudios de observación sugieren que, de manera similar a los fármacos antipsicóticos atípicos, el tratamiento con fármacos antipsicóticos convencionales pueden aumentar la mortalidad. La medida en que los resultados del aumento de la mortalidad en estudios de observación pueden atribuirse a la droga antipsicótico en contraposición a alguna característica (s) de los pacientes no está claro. ABILIFY Mantenim no está aprobado para el tratamiento de pacientes</w:t>
      </w:r>
      <w:r>
        <w:rPr/>
        <w:t>con psicosis relacionada con demencia.</w:t>
      </w:r>
    </w:p>
    <w:p>
      <w:pPr>
        <w:pStyle w:val="Heading3"/>
        <w:numPr>
          <w:ilvl w:val="1"/>
          <w:numId w:val="11"/>
        </w:numPr>
        <w:tabs>
          <w:tab w:pos="540" w:val="left" w:leader="none"/>
        </w:tabs>
        <w:spacing w:line="216" w:lineRule="auto" w:before="38" w:after="0"/>
        <w:ind w:left="539" w:right="718" w:hanging="400"/>
        <w:jc w:val="left"/>
      </w:pPr>
      <w:r>
        <w:rPr>
          <w:w w:val="90"/>
        </w:rPr>
        <w:t>Las reacciones adversas cerebrovasculares, incluido el accidente cerebrovascular en pacientes ancianos con psicosis relacionada con demencia</w:t>
      </w:r>
    </w:p>
    <w:p>
      <w:pPr>
        <w:pStyle w:val="BodyText"/>
        <w:spacing w:line="216" w:lineRule="auto" w:before="14"/>
        <w:ind w:left="139" w:right="717"/>
        <w:jc w:val="both"/>
      </w:pPr>
      <w:r>
        <w:rPr>
          <w:w w:val="95"/>
        </w:rPr>
        <w:t>En estudios clínicos controlados con placebo (dos dosis flexible y un estudio de dosis fija) de la psicosis relacionada con la demencia, hubo un aumento de la incidencia de reacciones adversas cerebrovasculares (por ejemplo, accidente cerebrovascular, ataque isquémico transitorio), incluyendo muertes, en aripiprazole- bucal los pacientes tratados (edad media: 84 años; intervalo: 78-88 años). En el estudio de dosis fija, hubo una relación dosis-respuesta estadísticamente significativa para las reacciones adversas cerebrovasculares en pacientes tratados con aripiprazol oral. ABILIFY Mantenim no está aprobado para el tratamiento de pacientes con dementia-</w:t>
      </w:r>
      <w:r>
        <w:rPr/>
        <w:t>psicosis relacionada.</w:t>
      </w:r>
    </w:p>
    <w:p>
      <w:pPr>
        <w:pStyle w:val="Heading3"/>
        <w:numPr>
          <w:ilvl w:val="1"/>
          <w:numId w:val="11"/>
        </w:numPr>
        <w:tabs>
          <w:tab w:pos="540" w:val="left" w:leader="none"/>
        </w:tabs>
        <w:spacing w:line="182" w:lineRule="exact" w:before="23" w:after="0"/>
        <w:ind w:left="539" w:right="0" w:hanging="400"/>
        <w:jc w:val="both"/>
      </w:pPr>
      <w:r>
        <w:rPr>
          <w:w w:val="95"/>
        </w:rPr>
        <w:t>Síndrome neuroléptico maligno</w:t>
      </w:r>
    </w:p>
    <w:p>
      <w:pPr>
        <w:pStyle w:val="BodyText"/>
        <w:spacing w:line="216" w:lineRule="auto" w:before="12"/>
        <w:ind w:left="139" w:right="717"/>
        <w:jc w:val="both"/>
      </w:pPr>
      <w:r>
        <w:rPr>
          <w:w w:val="90"/>
        </w:rPr>
        <w:t>Un complejo de síntomas potencialmente fatal refiere a veces como síndrome neuroléptico maligno (NMS) puede ocurrir con la administración de los fármacos antipsicóticos, incluyendo ABILIFY Mantenim. casos raros de NMS se produjeron durante el tratamiento aripiprazol en</w:t>
      </w:r>
      <w:r>
        <w:rPr/>
        <w:t>la base de datos clínicos en todo el mundo.</w:t>
      </w:r>
    </w:p>
    <w:p>
      <w:pPr>
        <w:pStyle w:val="BodyText"/>
        <w:spacing w:line="216" w:lineRule="auto" w:before="27"/>
        <w:ind w:left="139" w:right="718"/>
        <w:jc w:val="both"/>
      </w:pPr>
      <w:r>
        <w:rPr>
          <w:w w:val="90"/>
        </w:rPr>
        <w:t>Las manifestaciones clínicas del SNM son hiperpirexia, rigidez muscular, estado mental alterado, y evidencia de inestabilidad autonómica (pulso irregular o la presión arterial, taquicardia, diaforesis y trastornos del ritmo cardíaco). Otros signos pueden incluir creatina elevado</w:t>
      </w:r>
      <w:r>
        <w:rPr/>
        <w:t>fosfoquinasa, mioglobinuria (rabdomiolisis), e insuficiencia renal aguda.</w:t>
      </w:r>
    </w:p>
    <w:p>
      <w:pPr>
        <w:pStyle w:val="BodyText"/>
        <w:spacing w:line="216" w:lineRule="auto" w:before="26"/>
        <w:ind w:left="139" w:right="717"/>
        <w:jc w:val="both"/>
      </w:pPr>
      <w:r>
        <w:rPr>
          <w:w w:val="90"/>
        </w:rPr>
        <w:t>La evaluación diagnóstica de los pacientes con este síndrome es complicada. Para llegar a un diagnóstico, es importante excluir los casos en que la presentación clínica incluye tanto una enfermedad médica grave (por ejemplo, neumonía, infección sistémica) y no tratada o signos y síntomas extrapiramidales (EPS) con tratamiento inadecuado. Otras consideraciones importantes en el diagnóstico diferencial incluyen toxicidad anticolinérgica central,</w:t>
      </w:r>
      <w:r>
        <w:rPr/>
        <w:t>golpe de calor, fiebre medicamentosa y patología del sistema nervioso central primaria.</w:t>
      </w:r>
    </w:p>
    <w:p>
      <w:pPr>
        <w:pStyle w:val="BodyText"/>
        <w:spacing w:line="216" w:lineRule="auto" w:before="25"/>
        <w:ind w:left="139" w:right="716"/>
        <w:jc w:val="both"/>
      </w:pPr>
      <w:r>
        <w:rPr/>
        <w:t>La gestión de NMS debe incluir: 1) la interrupción inmediata de los fármacos antipsicóticos y otros medicamentos no esenciales para la terapia concurrente;</w:t>
      </w:r>
    </w:p>
    <w:p>
      <w:pPr>
        <w:pStyle w:val="BodyText"/>
        <w:spacing w:line="216" w:lineRule="auto"/>
        <w:ind w:left="139" w:right="717"/>
        <w:jc w:val="both"/>
      </w:pPr>
      <w:r>
        <w:rPr>
          <w:w w:val="95"/>
        </w:rPr>
        <w:t>2) tratamiento sintomático intensivo y supervisión médica; y 3) el tratamiento de</w:t>
      </w:r>
      <w:r>
        <w:rPr/>
        <w:t>cualquier problema médico serio concomitante para el cual los tratamientos específicos están disponibles. No existe un acuerdo general sobre los regímenes de tratamiento farmacológico específicos para el SNM no complicadas.</w:t>
      </w:r>
    </w:p>
    <w:p>
      <w:pPr>
        <w:pStyle w:val="BodyText"/>
        <w:spacing w:line="216" w:lineRule="auto" w:before="25"/>
        <w:ind w:left="139" w:right="718"/>
        <w:jc w:val="both"/>
      </w:pPr>
      <w:r>
        <w:rPr>
          <w:w w:val="95"/>
        </w:rPr>
        <w:t>Si un paciente requiere tratamiento antipsicótico después de la recuperación de NMS, la reintroducción potencial de la terapia de medicamentos debe ser considerado cuidadosamente. El paciente debe ser monitoreado cuidadosamente, ya que se han reportado recurrencias del SNM.</w:t>
      </w:r>
    </w:p>
    <w:p>
      <w:pPr>
        <w:pStyle w:val="Heading3"/>
        <w:numPr>
          <w:ilvl w:val="1"/>
          <w:numId w:val="11"/>
        </w:numPr>
        <w:tabs>
          <w:tab w:pos="540" w:val="left" w:leader="none"/>
        </w:tabs>
        <w:spacing w:line="182" w:lineRule="exact" w:before="26" w:after="0"/>
        <w:ind w:left="539" w:right="0" w:hanging="400"/>
        <w:jc w:val="both"/>
      </w:pPr>
      <w:r>
        <w:rPr>
          <w:w w:val="95"/>
        </w:rPr>
        <w:t>La discinesia tardía</w:t>
      </w:r>
    </w:p>
    <w:p>
      <w:pPr>
        <w:pStyle w:val="BodyText"/>
        <w:spacing w:line="216" w:lineRule="auto" w:before="13"/>
        <w:ind w:left="139" w:right="718"/>
        <w:jc w:val="both"/>
      </w:pPr>
      <w:r>
        <w:rPr>
          <w:w w:val="90"/>
        </w:rPr>
        <w:t>Un síndrome de movimientos potencialmente irreversibles, involuntarios, discinéticos puede desarrollarse en pacientes tratados con fármacos antipsicóticos. Aunque la prevalencia del síndrome parece ser mayor entre los ancianos, las mujeres, especialmente de edad avanzada, es imposible confiar en las estimaciones de prevalencia de predecir, al inicio del tratamiento antipsicótico, el cual los pacientes son propensos a desarrollar el síndrome. Ya sea antipsicótico</w:t>
      </w:r>
      <w:r>
        <w:rPr/>
        <w:t>productos difieren en su potencial de causar discinesia tardía es desconocida.</w:t>
      </w:r>
    </w:p>
    <w:p>
      <w:pPr>
        <w:pStyle w:val="BodyText"/>
        <w:spacing w:line="216" w:lineRule="auto" w:before="25"/>
        <w:ind w:left="139" w:right="717"/>
        <w:jc w:val="both"/>
      </w:pPr>
      <w:r>
        <w:rPr/>
        <w:t>El riesgo de desarrollar discinesia tardía y la probabilidad de que se convierta en irreversible se cree que aumentar a medida que la duración del tratamiento y la dosis acumulada total de los fármacos antipsicóticos administrados al aumento paciente. Sin embargo, el síndrome puede desarrollar, aunque mucho menos comúnmente, después de períodos de tratamiento relativamente breves a dosis bajas.</w:t>
      </w:r>
    </w:p>
    <w:p>
      <w:pPr>
        <w:pStyle w:val="BodyText"/>
        <w:spacing w:line="216" w:lineRule="auto" w:before="26"/>
        <w:ind w:left="139" w:right="716"/>
        <w:jc w:val="both"/>
      </w:pPr>
      <w:r>
        <w:rPr>
          <w:w w:val="95"/>
        </w:rPr>
        <w:t>La discinesia tardía puede remitir, parcial o completamente, si se retira el tratamiento antipsicótico. El tratamiento antipsicótico, en sí, sin embargo, puede suprimir (o parcialmente suprimir) los signos y síntomas del síndrome y, de este modo, puede posiblemente</w:t>
      </w:r>
      <w:r>
        <w:rPr/>
        <w:t>enmascarar el proceso subyacente. El efecto de la supresión sintomática en el curso a largo plazo del síndrome es desconocida.</w:t>
      </w:r>
    </w:p>
    <w:p>
      <w:pPr>
        <w:pStyle w:val="BodyText"/>
        <w:spacing w:line="216" w:lineRule="auto" w:before="26"/>
        <w:ind w:left="139" w:right="717"/>
        <w:jc w:val="both"/>
      </w:pPr>
      <w:r>
        <w:rPr>
          <w:w w:val="90"/>
        </w:rPr>
        <w:t>Dadas estas consideraciones, ABILIFY Mantenim debe ser prescrito de una manera </w:t>
      </w:r>
      <w:r>
        <w:rPr/>
        <w:t>que es más probable para minimizar la aparición de discinesia tardía. El tratamiento antipsicótico crónico en general, debe reservarse para pacientes que sufren de una enfermedad crónica que se sabe que responde a los fármacos antipsicóticos 1) y 2) para los que los tratamientos alternativos, igualmente eficaces, pero potencialmente menos dañinos no están disponibles o apropiado. En los pacientes que requieran tratamiento crónico, la dosis más baja y la duración más corta del tratamiento que produce una respuesta clínica satisfactoria debe ser buscada. La necesidad de continuar con el tratamiento debe ser reevaluado periódicamente.</w:t>
      </w:r>
    </w:p>
    <w:p>
      <w:pPr>
        <w:spacing w:after="0" w:line="216" w:lineRule="auto"/>
        <w:jc w:val="both"/>
        <w:sectPr>
          <w:pgSz w:w="12240" w:h="15840"/>
          <w:pgMar w:header="676" w:footer="367" w:top="860" w:bottom="580" w:left="580" w:right="0"/>
          <w:cols w:num="2" w:equalWidth="0">
            <w:col w:w="5461" w:space="59"/>
            <w:col w:w="6140"/>
          </w:cols>
        </w:sectPr>
      </w:pPr>
    </w:p>
    <w:p>
      <w:pPr>
        <w:pStyle w:val="BodyText"/>
        <w:spacing w:before="9"/>
        <w:rPr>
          <w:sz w:val="15"/>
        </w:rPr>
      </w:pPr>
    </w:p>
    <w:p>
      <w:pPr>
        <w:pStyle w:val="BodyText"/>
        <w:spacing w:line="216" w:lineRule="auto"/>
        <w:ind w:left="140" w:right="38"/>
        <w:jc w:val="both"/>
      </w:pPr>
      <w:r>
        <w:rPr/>
        <w:t>Si los signos y síntomas de discinesia tardía en un paciente tratado con la interrupción del fármaco aripiprazol Mantenim debe ser considerado. Sin embargo, algunos pacientes pueden requerir tratamiento con ABILIFY Mantenim pesar de la presencia del síndrome.</w:t>
      </w:r>
    </w:p>
    <w:p>
      <w:pPr>
        <w:pStyle w:val="Heading3"/>
        <w:numPr>
          <w:ilvl w:val="1"/>
          <w:numId w:val="11"/>
        </w:numPr>
        <w:tabs>
          <w:tab w:pos="540" w:val="left" w:leader="none"/>
        </w:tabs>
        <w:spacing w:line="182" w:lineRule="exact" w:before="26" w:after="0"/>
        <w:ind w:left="540" w:right="0" w:hanging="400"/>
        <w:jc w:val="both"/>
      </w:pPr>
      <w:r>
        <w:rPr>
          <w:w w:val="95"/>
        </w:rPr>
        <w:t>Los cambios metabólicos</w:t>
      </w:r>
    </w:p>
    <w:p>
      <w:pPr>
        <w:pStyle w:val="BodyText"/>
        <w:spacing w:line="216" w:lineRule="auto" w:before="12"/>
        <w:ind w:left="140" w:right="38"/>
        <w:jc w:val="both"/>
      </w:pPr>
      <w:r>
        <w:rPr>
          <w:w w:val="95"/>
        </w:rPr>
        <w:t>Los fármacos antipsicóticos atípicos se han asociado con cambios metabólicos que incluyen hiperglucemia / diabetes mellitus, dislipidemia, y aumento de peso. Aunque se han mostrado todos los fármacos de la clase para producir algunos cambios metabólicos, cada medicamento</w:t>
      </w:r>
      <w:r>
        <w:rPr/>
        <w:t>tiene su propio perfil de riesgo específico.</w:t>
      </w:r>
    </w:p>
    <w:p>
      <w:pPr>
        <w:pStyle w:val="Heading3"/>
        <w:spacing w:line="182" w:lineRule="exact" w:before="26"/>
        <w:jc w:val="both"/>
      </w:pPr>
      <w:r>
        <w:rPr/>
        <w:t>La hiperglucemia / diabetes mellitus</w:t>
      </w:r>
    </w:p>
    <w:p>
      <w:pPr>
        <w:pStyle w:val="BodyText"/>
        <w:spacing w:line="216" w:lineRule="auto" w:before="13"/>
        <w:ind w:left="140" w:right="38"/>
        <w:jc w:val="both"/>
      </w:pPr>
      <w:r>
        <w:rPr>
          <w:w w:val="90"/>
        </w:rPr>
        <w:t>Hiperglucemia, en algunos casos extrema y asociada con cetoacidosis diabética, coma hiperosmolar o muerte, ha sido reportada en pacientes tratados con antipsicóticos atípicos. Ha habido informes de la hiperglucemia en pacientes tratados con aripiprazol [ver Reacciones adversas (6.1)]. Evaluación de la relación entre el uso de antipsicóticos atípicos y anormalidades de glucosa se complica por la posibilidad de un mayor riesgo basal de la diabetes mellitus en pacientes con esquizofrenia y la creciente incidencia de la diabetes mellitus en la población general. Dado</w:t>
      </w:r>
      <w:r>
        <w:rPr/>
        <w:t>estos factores de confusión, la relación entre el uso de antipsicóticos atípicos y reacciones adversas relacionadas con la hiperglucemia no se conoce completamente. Sin embargo, los estudios epidemiológicos sugieren un aumento del riesgo de reacciones adversas relacionadas con la hiperglucemia en pacientes tratados con antipsicóticos atípicos.</w:t>
      </w:r>
    </w:p>
    <w:p>
      <w:pPr>
        <w:pStyle w:val="BodyText"/>
        <w:spacing w:line="216" w:lineRule="auto" w:before="22"/>
        <w:ind w:left="140" w:right="38"/>
        <w:jc w:val="both"/>
      </w:pPr>
      <w:r>
        <w:rPr/>
        <w:t>Los pacientes con un diagnóstico establecido de diabetes mellitus que comenzaron con antipsicóticos atípicos deben ser controlados regularmente por el empeoramiento de control de la glucosa. Los pacientes con factores de riesgo para la diabetes mellitus (por ejemplo, obesidad, antecedentes familiares de diabetes), que están empezando el tratamiento con antipsicóticos atípicos deben someterse a pruebas de glucosa en sangre en ayunas al comienzo del tratamiento y periódicamente durante el tratamiento. Cualquier paciente tratado con antipsicóticos atípicos deben ser monitorizados para síntomas de hiperglucemia incluyendo polidipsia, poliuria, polifagia y debilidad. Los pacientes que desarrollen síntomas de hiperglucemia durante el tratamiento con antipsicóticos atípicos deben someterse a pruebas de glucosa en sangre en ayunas. En algunos casos, la hiperglucemia se resuelve cuando se suspendió el antipsicótico atípico; sin embargo,</w:t>
      </w:r>
    </w:p>
    <w:p>
      <w:pPr>
        <w:pStyle w:val="BodyText"/>
        <w:spacing w:line="216" w:lineRule="auto" w:before="21"/>
        <w:ind w:left="140" w:right="38"/>
        <w:jc w:val="both"/>
      </w:pPr>
      <w:r>
        <w:rPr>
          <w:w w:val="90"/>
        </w:rPr>
        <w:t>En un corto plazo, controlado con placebo ensayo aleatorio en adultos con esquizofrenia, el cambio medio en la glucosa en ayunas fue 9,8 mg / dL (N = 88) en el ABILIFY MAINTENA- pacientes y 0,7 mg / dl tratado (N = 59 ) en los pacientes tratados con placebo. La Tabla 4 muestra la proporción de pacientes tratados con Mantenim ABILIFY con glucosa normal y borderline en ayunas al inicio del estudio y sus cambios en ayunas mediciones de glucosa.</w:t>
      </w:r>
    </w:p>
    <w:p>
      <w:pPr>
        <w:pStyle w:val="Heading3"/>
        <w:spacing w:line="216" w:lineRule="auto" w:before="157"/>
        <w:ind w:left="828" w:right="72" w:hanging="660"/>
        <w:jc w:val="both"/>
      </w:pPr>
      <w:r>
        <w:rPr>
          <w:w w:val="90"/>
        </w:rPr>
        <w:t>Tabla 4: Proporción de pacientes con cambios clínicamente relevantes potenciales en la glucosa en ayunas de un ensayo de monoterapia controlados con placebo de 12 semanas en pacientes adultos con esquizofrenia</w:t>
      </w: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
        <w:gridCol w:w="2030"/>
        <w:gridCol w:w="1440"/>
        <w:gridCol w:w="559"/>
        <w:gridCol w:w="630"/>
      </w:tblGrid>
      <w:tr>
        <w:trPr>
          <w:trHeight w:val="395" w:hRule="atLeast"/>
        </w:trPr>
        <w:tc>
          <w:tcPr>
            <w:tcW w:w="614" w:type="dxa"/>
            <w:tcBorders>
              <w:left w:val="nil"/>
            </w:tcBorders>
          </w:tcPr>
          <w:p>
            <w:pPr>
              <w:pStyle w:val="TableParagraph"/>
              <w:rPr>
                <w:rFonts w:ascii="Times New Roman"/>
                <w:sz w:val="14"/>
              </w:rPr>
            </w:pPr>
          </w:p>
        </w:tc>
        <w:tc>
          <w:tcPr>
            <w:tcW w:w="2030" w:type="dxa"/>
          </w:tcPr>
          <w:p>
            <w:pPr>
              <w:pStyle w:val="TableParagraph"/>
              <w:spacing w:line="180" w:lineRule="exact" w:before="21"/>
              <w:ind w:left="357" w:right="67" w:hanging="186"/>
              <w:rPr>
                <w:b/>
                <w:sz w:val="16"/>
              </w:rPr>
            </w:pPr>
            <w:r>
              <w:rPr>
                <w:b/>
                <w:w w:val="90"/>
                <w:sz w:val="16"/>
              </w:rPr>
              <w:t>Categoría de Cambio (al menos una vez) desde el inicio</w:t>
            </w:r>
          </w:p>
        </w:tc>
        <w:tc>
          <w:tcPr>
            <w:tcW w:w="1440" w:type="dxa"/>
          </w:tcPr>
          <w:p>
            <w:pPr>
              <w:pStyle w:val="TableParagraph"/>
              <w:spacing w:before="8"/>
              <w:rPr>
                <w:b/>
                <w:sz w:val="16"/>
              </w:rPr>
            </w:pPr>
          </w:p>
          <w:p>
            <w:pPr>
              <w:pStyle w:val="TableParagraph"/>
              <w:spacing w:line="183" w:lineRule="exact" w:before="1"/>
              <w:ind w:left="39" w:right="28"/>
              <w:jc w:val="center"/>
              <w:rPr>
                <w:b/>
                <w:sz w:val="16"/>
              </w:rPr>
            </w:pPr>
            <w:r>
              <w:rPr>
                <w:b/>
                <w:w w:val="95"/>
                <w:sz w:val="16"/>
              </w:rPr>
              <w:t>Grupo de tratamiento</w:t>
            </w:r>
          </w:p>
        </w:tc>
        <w:tc>
          <w:tcPr>
            <w:tcW w:w="559" w:type="dxa"/>
          </w:tcPr>
          <w:p>
            <w:pPr>
              <w:pStyle w:val="TableParagraph"/>
              <w:spacing w:before="8"/>
              <w:rPr>
                <w:b/>
                <w:sz w:val="16"/>
              </w:rPr>
            </w:pPr>
          </w:p>
          <w:p>
            <w:pPr>
              <w:pStyle w:val="TableParagraph"/>
              <w:spacing w:line="183" w:lineRule="exact" w:before="1"/>
              <w:ind w:left="103" w:right="92"/>
              <w:jc w:val="center"/>
              <w:rPr>
                <w:b/>
                <w:sz w:val="9"/>
              </w:rPr>
            </w:pPr>
            <w:r>
              <w:rPr>
                <w:b/>
                <w:sz w:val="16"/>
              </w:rPr>
              <w:t>n / N</w:t>
            </w:r>
            <w:r>
              <w:rPr>
                <w:b/>
                <w:position w:val="5"/>
                <w:sz w:val="9"/>
              </w:rPr>
              <w:t>una</w:t>
            </w:r>
          </w:p>
        </w:tc>
        <w:tc>
          <w:tcPr>
            <w:tcW w:w="630" w:type="dxa"/>
            <w:tcBorders>
              <w:right w:val="nil"/>
            </w:tcBorders>
          </w:tcPr>
          <w:p>
            <w:pPr>
              <w:pStyle w:val="TableParagraph"/>
              <w:spacing w:before="9"/>
              <w:rPr>
                <w:b/>
                <w:sz w:val="16"/>
              </w:rPr>
            </w:pPr>
          </w:p>
          <w:p>
            <w:pPr>
              <w:pStyle w:val="TableParagraph"/>
              <w:spacing w:line="183" w:lineRule="exact"/>
              <w:ind w:left="7"/>
              <w:jc w:val="center"/>
              <w:rPr>
                <w:b/>
                <w:sz w:val="16"/>
              </w:rPr>
            </w:pPr>
            <w:r>
              <w:rPr>
                <w:b/>
                <w:w w:val="93"/>
                <w:sz w:val="16"/>
              </w:rPr>
              <w:t>%</w:t>
            </w:r>
          </w:p>
        </w:tc>
      </w:tr>
      <w:tr>
        <w:trPr>
          <w:trHeight w:val="242" w:hRule="atLeast"/>
        </w:trPr>
        <w:tc>
          <w:tcPr>
            <w:tcW w:w="614" w:type="dxa"/>
            <w:vMerge w:val="restart"/>
            <w:tcBorders>
              <w:left w:val="nil"/>
            </w:tcBorders>
          </w:tcPr>
          <w:p>
            <w:pPr>
              <w:pStyle w:val="TableParagraph"/>
              <w:spacing w:before="3"/>
              <w:rPr>
                <w:b/>
                <w:sz w:val="18"/>
              </w:rPr>
            </w:pPr>
          </w:p>
          <w:p>
            <w:pPr>
              <w:pStyle w:val="TableParagraph"/>
              <w:spacing w:line="235" w:lineRule="auto" w:before="1"/>
              <w:ind w:left="33"/>
              <w:rPr>
                <w:b/>
                <w:sz w:val="16"/>
              </w:rPr>
            </w:pPr>
            <w:r>
              <w:rPr>
                <w:b/>
                <w:w w:val="85"/>
                <w:sz w:val="16"/>
              </w:rPr>
              <w:t>Glucosa alta</w:t>
            </w:r>
          </w:p>
        </w:tc>
        <w:tc>
          <w:tcPr>
            <w:tcW w:w="2030" w:type="dxa"/>
            <w:vMerge w:val="restart"/>
          </w:tcPr>
          <w:p>
            <w:pPr>
              <w:pStyle w:val="TableParagraph"/>
              <w:spacing w:line="182" w:lineRule="exact" w:before="17"/>
              <w:ind w:left="45" w:right="34"/>
              <w:jc w:val="center"/>
              <w:rPr>
                <w:sz w:val="16"/>
              </w:rPr>
            </w:pPr>
            <w:r>
              <w:rPr>
                <w:sz w:val="16"/>
              </w:rPr>
              <w:t>Normal a Alta</w:t>
            </w:r>
          </w:p>
          <w:p>
            <w:pPr>
              <w:pStyle w:val="TableParagraph"/>
              <w:spacing w:line="182" w:lineRule="exact"/>
              <w:ind w:left="45" w:right="34"/>
              <w:jc w:val="center"/>
              <w:rPr>
                <w:sz w:val="16"/>
              </w:rPr>
            </w:pPr>
            <w:r>
              <w:rPr>
                <w:sz w:val="16"/>
              </w:rPr>
              <w:t>(&lt;100 mg / dl a ≥ 126 mg / dL)</w:t>
            </w:r>
          </w:p>
        </w:tc>
        <w:tc>
          <w:tcPr>
            <w:tcW w:w="1440" w:type="dxa"/>
          </w:tcPr>
          <w:p>
            <w:pPr>
              <w:pStyle w:val="TableParagraph"/>
              <w:spacing w:before="28"/>
              <w:ind w:left="39" w:right="28"/>
              <w:jc w:val="center"/>
              <w:rPr>
                <w:sz w:val="16"/>
              </w:rPr>
            </w:pPr>
            <w:r>
              <w:rPr>
                <w:w w:val="90"/>
                <w:sz w:val="16"/>
              </w:rPr>
              <w:t>ABILIFY Mantenim</w:t>
            </w:r>
          </w:p>
        </w:tc>
        <w:tc>
          <w:tcPr>
            <w:tcW w:w="559" w:type="dxa"/>
          </w:tcPr>
          <w:p>
            <w:pPr>
              <w:pStyle w:val="TableParagraph"/>
              <w:spacing w:before="28"/>
              <w:ind w:left="104" w:right="92"/>
              <w:jc w:val="center"/>
              <w:rPr>
                <w:sz w:val="16"/>
              </w:rPr>
            </w:pPr>
            <w:r>
              <w:rPr>
                <w:sz w:val="16"/>
              </w:rPr>
              <w:t>7/88</w:t>
            </w:r>
          </w:p>
        </w:tc>
        <w:tc>
          <w:tcPr>
            <w:tcW w:w="630" w:type="dxa"/>
            <w:tcBorders>
              <w:right w:val="nil"/>
            </w:tcBorders>
          </w:tcPr>
          <w:p>
            <w:pPr>
              <w:pStyle w:val="TableParagraph"/>
              <w:spacing w:before="28"/>
              <w:ind w:left="184" w:right="177"/>
              <w:jc w:val="center"/>
              <w:rPr>
                <w:sz w:val="16"/>
              </w:rPr>
            </w:pPr>
            <w:r>
              <w:rPr>
                <w:sz w:val="16"/>
              </w:rPr>
              <w:t>8.0</w:t>
            </w:r>
          </w:p>
        </w:tc>
      </w:tr>
      <w:tr>
        <w:trPr>
          <w:trHeight w:val="227" w:hRule="atLeast"/>
        </w:trPr>
        <w:tc>
          <w:tcPr>
            <w:tcW w:w="614" w:type="dxa"/>
            <w:vMerge/>
            <w:tcBorders>
              <w:top w:val="nil"/>
              <w:left w:val="nil"/>
            </w:tcBorders>
          </w:tcPr>
          <w:p>
            <w:pPr>
              <w:rPr>
                <w:sz w:val="2"/>
                <w:szCs w:val="2"/>
              </w:rPr>
            </w:pPr>
          </w:p>
        </w:tc>
        <w:tc>
          <w:tcPr>
            <w:tcW w:w="2030" w:type="dxa"/>
            <w:vMerge/>
            <w:tcBorders>
              <w:top w:val="nil"/>
            </w:tcBorders>
          </w:tcPr>
          <w:p>
            <w:pPr>
              <w:rPr>
                <w:sz w:val="2"/>
                <w:szCs w:val="2"/>
              </w:rPr>
            </w:pPr>
          </w:p>
        </w:tc>
        <w:tc>
          <w:tcPr>
            <w:tcW w:w="1440" w:type="dxa"/>
          </w:tcPr>
          <w:p>
            <w:pPr>
              <w:pStyle w:val="TableParagraph"/>
              <w:spacing w:before="20"/>
              <w:ind w:left="40" w:right="28"/>
              <w:jc w:val="center"/>
              <w:rPr>
                <w:sz w:val="16"/>
              </w:rPr>
            </w:pPr>
            <w:r>
              <w:rPr>
                <w:w w:val="95"/>
                <w:sz w:val="16"/>
              </w:rPr>
              <w:t>Placebo</w:t>
            </w:r>
          </w:p>
        </w:tc>
        <w:tc>
          <w:tcPr>
            <w:tcW w:w="559" w:type="dxa"/>
          </w:tcPr>
          <w:p>
            <w:pPr>
              <w:pStyle w:val="TableParagraph"/>
              <w:spacing w:before="20"/>
              <w:ind w:left="104" w:right="92"/>
              <w:jc w:val="center"/>
              <w:rPr>
                <w:sz w:val="16"/>
              </w:rPr>
            </w:pPr>
            <w:r>
              <w:rPr>
                <w:sz w:val="16"/>
              </w:rPr>
              <w:t>0/75</w:t>
            </w:r>
          </w:p>
        </w:tc>
        <w:tc>
          <w:tcPr>
            <w:tcW w:w="630" w:type="dxa"/>
            <w:tcBorders>
              <w:right w:val="nil"/>
            </w:tcBorders>
          </w:tcPr>
          <w:p>
            <w:pPr>
              <w:pStyle w:val="TableParagraph"/>
              <w:spacing w:before="20"/>
              <w:ind w:left="184" w:right="177"/>
              <w:jc w:val="center"/>
              <w:rPr>
                <w:sz w:val="16"/>
              </w:rPr>
            </w:pPr>
            <w:r>
              <w:rPr>
                <w:sz w:val="16"/>
              </w:rPr>
              <w:t>0.0</w:t>
            </w:r>
          </w:p>
        </w:tc>
      </w:tr>
      <w:tr>
        <w:trPr>
          <w:trHeight w:val="244" w:hRule="atLeast"/>
        </w:trPr>
        <w:tc>
          <w:tcPr>
            <w:tcW w:w="614" w:type="dxa"/>
            <w:vMerge/>
            <w:tcBorders>
              <w:top w:val="nil"/>
              <w:left w:val="nil"/>
            </w:tcBorders>
          </w:tcPr>
          <w:p>
            <w:pPr>
              <w:rPr>
                <w:sz w:val="2"/>
                <w:szCs w:val="2"/>
              </w:rPr>
            </w:pPr>
          </w:p>
        </w:tc>
        <w:tc>
          <w:tcPr>
            <w:tcW w:w="2030" w:type="dxa"/>
            <w:vMerge w:val="restart"/>
          </w:tcPr>
          <w:p>
            <w:pPr>
              <w:pStyle w:val="TableParagraph"/>
              <w:spacing w:line="235" w:lineRule="auto"/>
              <w:ind w:left="63" w:right="40" w:firstLine="379"/>
              <w:rPr>
                <w:sz w:val="16"/>
              </w:rPr>
            </w:pPr>
            <w:r>
              <w:rPr>
                <w:sz w:val="16"/>
              </w:rPr>
              <w:t>Borderline a alta (≥100 mg / dl y &lt;126 mg / dl</w:t>
            </w:r>
          </w:p>
          <w:p>
            <w:pPr>
              <w:pStyle w:val="TableParagraph"/>
              <w:spacing w:line="179" w:lineRule="exact"/>
              <w:ind w:left="521"/>
              <w:rPr>
                <w:sz w:val="16"/>
              </w:rPr>
            </w:pPr>
            <w:r>
              <w:rPr>
                <w:sz w:val="16"/>
              </w:rPr>
              <w:t>a ≥126 mg / dL)</w:t>
            </w:r>
          </w:p>
        </w:tc>
        <w:tc>
          <w:tcPr>
            <w:tcW w:w="1440" w:type="dxa"/>
          </w:tcPr>
          <w:p>
            <w:pPr>
              <w:pStyle w:val="TableParagraph"/>
              <w:spacing w:before="29"/>
              <w:ind w:left="40" w:right="28"/>
              <w:jc w:val="center"/>
              <w:rPr>
                <w:sz w:val="16"/>
              </w:rPr>
            </w:pPr>
            <w:r>
              <w:rPr>
                <w:w w:val="90"/>
                <w:sz w:val="16"/>
              </w:rPr>
              <w:t>ABILIFY Mantenim</w:t>
            </w:r>
          </w:p>
        </w:tc>
        <w:tc>
          <w:tcPr>
            <w:tcW w:w="559" w:type="dxa"/>
          </w:tcPr>
          <w:p>
            <w:pPr>
              <w:pStyle w:val="TableParagraph"/>
              <w:spacing w:before="29"/>
              <w:ind w:left="104" w:right="92"/>
              <w:jc w:val="center"/>
              <w:rPr>
                <w:sz w:val="16"/>
              </w:rPr>
            </w:pPr>
            <w:r>
              <w:rPr>
                <w:sz w:val="16"/>
              </w:rPr>
              <w:t>1/33</w:t>
            </w:r>
          </w:p>
        </w:tc>
        <w:tc>
          <w:tcPr>
            <w:tcW w:w="630" w:type="dxa"/>
            <w:tcBorders>
              <w:right w:val="nil"/>
            </w:tcBorders>
          </w:tcPr>
          <w:p>
            <w:pPr>
              <w:pStyle w:val="TableParagraph"/>
              <w:spacing w:before="29"/>
              <w:ind w:left="184" w:right="177"/>
              <w:jc w:val="center"/>
              <w:rPr>
                <w:sz w:val="16"/>
              </w:rPr>
            </w:pPr>
            <w:r>
              <w:rPr>
                <w:sz w:val="16"/>
              </w:rPr>
              <w:t>3.0</w:t>
            </w:r>
          </w:p>
        </w:tc>
      </w:tr>
      <w:tr>
        <w:trPr>
          <w:trHeight w:val="296" w:hRule="atLeast"/>
        </w:trPr>
        <w:tc>
          <w:tcPr>
            <w:tcW w:w="614" w:type="dxa"/>
            <w:vMerge/>
            <w:tcBorders>
              <w:top w:val="nil"/>
              <w:left w:val="nil"/>
            </w:tcBorders>
          </w:tcPr>
          <w:p>
            <w:pPr>
              <w:rPr>
                <w:sz w:val="2"/>
                <w:szCs w:val="2"/>
              </w:rPr>
            </w:pPr>
          </w:p>
        </w:tc>
        <w:tc>
          <w:tcPr>
            <w:tcW w:w="2030" w:type="dxa"/>
            <w:vMerge/>
            <w:tcBorders>
              <w:top w:val="nil"/>
            </w:tcBorders>
          </w:tcPr>
          <w:p>
            <w:pPr>
              <w:rPr>
                <w:sz w:val="2"/>
                <w:szCs w:val="2"/>
              </w:rPr>
            </w:pPr>
          </w:p>
        </w:tc>
        <w:tc>
          <w:tcPr>
            <w:tcW w:w="1440" w:type="dxa"/>
          </w:tcPr>
          <w:p>
            <w:pPr>
              <w:pStyle w:val="TableParagraph"/>
              <w:spacing w:before="55"/>
              <w:ind w:left="40" w:right="28"/>
              <w:jc w:val="center"/>
              <w:rPr>
                <w:sz w:val="16"/>
              </w:rPr>
            </w:pPr>
            <w:r>
              <w:rPr>
                <w:w w:val="95"/>
                <w:sz w:val="16"/>
              </w:rPr>
              <w:t>Placebo</w:t>
            </w:r>
          </w:p>
        </w:tc>
        <w:tc>
          <w:tcPr>
            <w:tcW w:w="559" w:type="dxa"/>
          </w:tcPr>
          <w:p>
            <w:pPr>
              <w:pStyle w:val="TableParagraph"/>
              <w:spacing w:before="55"/>
              <w:ind w:left="104" w:right="92"/>
              <w:jc w:val="center"/>
              <w:rPr>
                <w:sz w:val="16"/>
              </w:rPr>
            </w:pPr>
            <w:r>
              <w:rPr>
                <w:sz w:val="16"/>
              </w:rPr>
              <w:t>3/33</w:t>
            </w:r>
          </w:p>
        </w:tc>
        <w:tc>
          <w:tcPr>
            <w:tcW w:w="630" w:type="dxa"/>
            <w:tcBorders>
              <w:right w:val="nil"/>
            </w:tcBorders>
          </w:tcPr>
          <w:p>
            <w:pPr>
              <w:pStyle w:val="TableParagraph"/>
              <w:spacing w:before="55"/>
              <w:ind w:left="184" w:right="176"/>
              <w:jc w:val="center"/>
              <w:rPr>
                <w:sz w:val="16"/>
              </w:rPr>
            </w:pPr>
            <w:r>
              <w:rPr>
                <w:sz w:val="16"/>
              </w:rPr>
              <w:t>9.1</w:t>
            </w:r>
          </w:p>
        </w:tc>
      </w:tr>
    </w:tbl>
    <w:p>
      <w:pPr>
        <w:pStyle w:val="BodyText"/>
        <w:spacing w:line="216" w:lineRule="auto" w:before="74"/>
        <w:ind w:left="260" w:right="30" w:hanging="121"/>
      </w:pPr>
      <w:r>
        <w:rPr>
          <w:w w:val="95"/>
          <w:position w:val="7"/>
          <w:sz w:val="10"/>
        </w:rPr>
        <w:t>una </w:t>
      </w:r>
      <w:r>
        <w:rPr>
          <w:w w:val="95"/>
        </w:rPr>
        <w:t>N = el número total de sujetos que tenían una medición al inicio del estudio y al menos </w:t>
      </w:r>
      <w:r>
        <w:rPr/>
        <w:t>Uno de los resultados post-línea de base.</w:t>
      </w:r>
    </w:p>
    <w:p>
      <w:pPr>
        <w:pStyle w:val="BodyText"/>
        <w:spacing w:line="168" w:lineRule="exact"/>
        <w:ind w:left="240"/>
      </w:pPr>
      <w:r>
        <w:rPr/>
        <w:t>n = el número de sujetos con un cambio potencialmente clínicamente relevante.</w:t>
      </w:r>
    </w:p>
    <w:p>
      <w:pPr>
        <w:pStyle w:val="BodyText"/>
        <w:spacing w:line="216" w:lineRule="auto" w:before="114"/>
        <w:ind w:left="140" w:right="38"/>
        <w:jc w:val="both"/>
      </w:pPr>
      <w:r>
        <w:rPr/>
        <w:t>Durante 52 semanas, bipolar I estudio trastorno de etiqueta abierta en aquellos pacientes que iniciaron el tratamiento ABILIFY Mantenim, 1,1% con normal a la glucosa en ayunas línea de base experimentado un cambio a alta mientras recibe ABILIFY Mantenim y 9,8% con la glucosa en ayunas borderline experimentado un cambio a mayor . En conjunto, el 2,9% de estos pacientes con la glucosa en ayunas normal o limítrofe experimentó cambios a nivel alto de glucosa en ayunas durante esta prueba.</w:t>
      </w:r>
    </w:p>
    <w:p>
      <w:pPr>
        <w:pStyle w:val="Heading3"/>
        <w:spacing w:line="182" w:lineRule="exact" w:before="25"/>
        <w:jc w:val="both"/>
      </w:pPr>
      <w:r>
        <w:rPr>
          <w:w w:val="95"/>
        </w:rPr>
        <w:t>dislipidemia</w:t>
      </w:r>
    </w:p>
    <w:p>
      <w:pPr>
        <w:pStyle w:val="BodyText"/>
        <w:spacing w:line="216" w:lineRule="auto" w:before="13"/>
        <w:ind w:left="140" w:right="39"/>
        <w:jc w:val="both"/>
      </w:pPr>
      <w:r>
        <w:rPr>
          <w:w w:val="90"/>
        </w:rPr>
        <w:t>alteraciones adversas en los lípidos se han observado en pacientes tratados con atípica </w:t>
      </w:r>
      <w:r>
        <w:rPr/>
        <w:t>antipsicóticos.</w:t>
      </w:r>
    </w:p>
    <w:p>
      <w:pPr>
        <w:pStyle w:val="BodyText"/>
        <w:spacing w:line="216" w:lineRule="auto" w:before="27"/>
        <w:ind w:left="140" w:right="38"/>
        <w:jc w:val="both"/>
      </w:pPr>
      <w:r>
        <w:rPr>
          <w:spacing w:val="-3"/>
        </w:rPr>
        <w:t>Mesa </w:t>
      </w:r>
      <w:r>
        <w:rPr/>
        <w:t>La figura 5 muestra la proporción de pacientes adultos de un corto plazo, con placebo ensayo aleatorio controlado en adultos con esquizofrenia tomando ABILIFY Mantenim, con cambios en el colesterol total, los triglicéridos en ayunas, el ayuno de colesterol LDL y el colesterol HDL.</w:t>
      </w:r>
    </w:p>
    <w:p>
      <w:pPr>
        <w:pStyle w:val="BodyText"/>
        <w:rPr>
          <w:sz w:val="18"/>
        </w:rPr>
      </w:pPr>
      <w:r>
        <w:rPr/>
        <w:br w:type="column"/>
      </w:r>
      <w:r>
        <w:rPr>
          <w:sz w:val="18"/>
        </w:rPr>
      </w:r>
    </w:p>
    <w:p>
      <w:pPr>
        <w:pStyle w:val="Heading3"/>
        <w:spacing w:line="220" w:lineRule="auto"/>
        <w:ind w:left="800" w:right="753" w:hanging="660"/>
        <w:jc w:val="both"/>
      </w:pPr>
      <w:r>
        <w:rPr>
          <w:w w:val="90"/>
        </w:rPr>
        <w:t>Tabla 5: Proporción de pacientes con cambios clínicamente relevantes en los parámetros lipídicos potenciales de sangre de un ensayo de monoterapia controlados con placebo de 12 semanas en adultos con esquizofrenia</w:t>
      </w: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0"/>
        <w:gridCol w:w="1584"/>
        <w:gridCol w:w="720"/>
        <w:gridCol w:w="730"/>
      </w:tblGrid>
      <w:tr>
        <w:trPr>
          <w:trHeight w:val="220" w:hRule="atLeast"/>
        </w:trPr>
        <w:tc>
          <w:tcPr>
            <w:tcW w:w="2250" w:type="dxa"/>
            <w:tcBorders>
              <w:left w:val="nil"/>
            </w:tcBorders>
          </w:tcPr>
          <w:p>
            <w:pPr>
              <w:pStyle w:val="TableParagraph"/>
              <w:rPr>
                <w:rFonts w:ascii="Times New Roman"/>
                <w:sz w:val="14"/>
              </w:rPr>
            </w:pPr>
          </w:p>
        </w:tc>
        <w:tc>
          <w:tcPr>
            <w:tcW w:w="1584" w:type="dxa"/>
          </w:tcPr>
          <w:p>
            <w:pPr>
              <w:pStyle w:val="TableParagraph"/>
              <w:spacing w:line="183" w:lineRule="exact" w:before="17"/>
              <w:ind w:left="110" w:right="100"/>
              <w:jc w:val="center"/>
              <w:rPr>
                <w:b/>
                <w:sz w:val="16"/>
              </w:rPr>
            </w:pPr>
            <w:r>
              <w:rPr>
                <w:b/>
                <w:w w:val="95"/>
                <w:sz w:val="16"/>
              </w:rPr>
              <w:t>Grupo de tratamiento</w:t>
            </w:r>
          </w:p>
        </w:tc>
        <w:tc>
          <w:tcPr>
            <w:tcW w:w="720" w:type="dxa"/>
          </w:tcPr>
          <w:p>
            <w:pPr>
              <w:pStyle w:val="TableParagraph"/>
              <w:spacing w:line="183" w:lineRule="exact" w:before="17"/>
              <w:ind w:left="93" w:right="83"/>
              <w:jc w:val="center"/>
              <w:rPr>
                <w:b/>
                <w:sz w:val="9"/>
              </w:rPr>
            </w:pPr>
            <w:r>
              <w:rPr>
                <w:b/>
                <w:sz w:val="16"/>
              </w:rPr>
              <w:t>n / N</w:t>
            </w:r>
            <w:r>
              <w:rPr>
                <w:b/>
                <w:position w:val="5"/>
                <w:sz w:val="9"/>
              </w:rPr>
              <w:t>una</w:t>
            </w:r>
          </w:p>
        </w:tc>
        <w:tc>
          <w:tcPr>
            <w:tcW w:w="730" w:type="dxa"/>
            <w:tcBorders>
              <w:right w:val="nil"/>
            </w:tcBorders>
          </w:tcPr>
          <w:p>
            <w:pPr>
              <w:pStyle w:val="TableParagraph"/>
              <w:spacing w:line="183" w:lineRule="exact" w:before="17"/>
              <w:ind w:right="4"/>
              <w:jc w:val="center"/>
              <w:rPr>
                <w:b/>
                <w:sz w:val="16"/>
              </w:rPr>
            </w:pPr>
            <w:r>
              <w:rPr>
                <w:b/>
                <w:w w:val="93"/>
                <w:sz w:val="16"/>
              </w:rPr>
              <w:t>%</w:t>
            </w:r>
          </w:p>
        </w:tc>
      </w:tr>
      <w:tr>
        <w:trPr>
          <w:trHeight w:val="271" w:hRule="atLeast"/>
        </w:trPr>
        <w:tc>
          <w:tcPr>
            <w:tcW w:w="2250" w:type="dxa"/>
            <w:vMerge w:val="restart"/>
            <w:tcBorders>
              <w:left w:val="nil"/>
            </w:tcBorders>
          </w:tcPr>
          <w:p>
            <w:pPr>
              <w:pStyle w:val="TableParagraph"/>
              <w:spacing w:line="172" w:lineRule="exact"/>
              <w:ind w:left="33"/>
              <w:rPr>
                <w:b/>
                <w:sz w:val="16"/>
              </w:rPr>
            </w:pPr>
            <w:r>
              <w:rPr>
                <w:b/>
                <w:w w:val="95"/>
                <w:sz w:val="16"/>
              </w:rPr>
              <w:t>Colesterol total</w:t>
            </w:r>
          </w:p>
          <w:p>
            <w:pPr>
              <w:pStyle w:val="TableParagraph"/>
              <w:spacing w:line="170" w:lineRule="exact"/>
              <w:ind w:left="33"/>
              <w:rPr>
                <w:sz w:val="16"/>
              </w:rPr>
            </w:pPr>
            <w:r>
              <w:rPr>
                <w:sz w:val="16"/>
              </w:rPr>
              <w:t>Normal a Alta</w:t>
            </w:r>
          </w:p>
          <w:p>
            <w:pPr>
              <w:pStyle w:val="TableParagraph"/>
              <w:spacing w:line="154" w:lineRule="exact"/>
              <w:ind w:left="33"/>
              <w:rPr>
                <w:sz w:val="16"/>
              </w:rPr>
            </w:pPr>
            <w:r>
              <w:rPr>
                <w:sz w:val="16"/>
              </w:rPr>
              <w:t>(&lt;200 mg / dl a ≥ 240 mg / dL)</w:t>
            </w:r>
          </w:p>
        </w:tc>
        <w:tc>
          <w:tcPr>
            <w:tcW w:w="1584" w:type="dxa"/>
          </w:tcPr>
          <w:p>
            <w:pPr>
              <w:pStyle w:val="TableParagraph"/>
              <w:spacing w:before="43"/>
              <w:ind w:left="110" w:right="100"/>
              <w:jc w:val="center"/>
              <w:rPr>
                <w:sz w:val="16"/>
              </w:rPr>
            </w:pPr>
            <w:r>
              <w:rPr>
                <w:w w:val="90"/>
                <w:sz w:val="16"/>
              </w:rPr>
              <w:t>ABILIFY Mantenim</w:t>
            </w:r>
          </w:p>
        </w:tc>
        <w:tc>
          <w:tcPr>
            <w:tcW w:w="720" w:type="dxa"/>
          </w:tcPr>
          <w:p>
            <w:pPr>
              <w:pStyle w:val="TableParagraph"/>
              <w:spacing w:before="43"/>
              <w:ind w:left="93" w:right="83"/>
              <w:jc w:val="center"/>
              <w:rPr>
                <w:sz w:val="16"/>
              </w:rPr>
            </w:pPr>
            <w:r>
              <w:rPr>
                <w:sz w:val="16"/>
              </w:rPr>
              <w:t>3/83</w:t>
            </w:r>
          </w:p>
        </w:tc>
        <w:tc>
          <w:tcPr>
            <w:tcW w:w="730" w:type="dxa"/>
            <w:tcBorders>
              <w:right w:val="nil"/>
            </w:tcBorders>
          </w:tcPr>
          <w:p>
            <w:pPr>
              <w:pStyle w:val="TableParagraph"/>
              <w:spacing w:before="43"/>
              <w:ind w:left="184" w:right="186"/>
              <w:jc w:val="center"/>
              <w:rPr>
                <w:sz w:val="16"/>
              </w:rPr>
            </w:pPr>
            <w:r>
              <w:rPr>
                <w:sz w:val="16"/>
              </w:rPr>
              <w:t>3.6</w:t>
            </w:r>
          </w:p>
        </w:tc>
      </w:tr>
      <w:tr>
        <w:trPr>
          <w:trHeight w:val="234" w:hRule="atLeast"/>
        </w:trPr>
        <w:tc>
          <w:tcPr>
            <w:tcW w:w="2250" w:type="dxa"/>
            <w:vMerge/>
            <w:tcBorders>
              <w:top w:val="nil"/>
              <w:left w:val="nil"/>
            </w:tcBorders>
          </w:tcPr>
          <w:p>
            <w:pPr>
              <w:rPr>
                <w:sz w:val="2"/>
                <w:szCs w:val="2"/>
              </w:rPr>
            </w:pPr>
          </w:p>
        </w:tc>
        <w:tc>
          <w:tcPr>
            <w:tcW w:w="1584" w:type="dxa"/>
          </w:tcPr>
          <w:p>
            <w:pPr>
              <w:pStyle w:val="TableParagraph"/>
              <w:spacing w:before="24"/>
              <w:ind w:left="110" w:right="100"/>
              <w:jc w:val="center"/>
              <w:rPr>
                <w:sz w:val="16"/>
              </w:rPr>
            </w:pPr>
            <w:r>
              <w:rPr>
                <w:w w:val="95"/>
                <w:sz w:val="16"/>
              </w:rPr>
              <w:t>Placebo</w:t>
            </w:r>
          </w:p>
        </w:tc>
        <w:tc>
          <w:tcPr>
            <w:tcW w:w="720" w:type="dxa"/>
          </w:tcPr>
          <w:p>
            <w:pPr>
              <w:pStyle w:val="TableParagraph"/>
              <w:spacing w:before="24"/>
              <w:ind w:left="93" w:right="83"/>
              <w:jc w:val="center"/>
              <w:rPr>
                <w:sz w:val="16"/>
              </w:rPr>
            </w:pPr>
            <w:r>
              <w:rPr>
                <w:sz w:val="16"/>
              </w:rPr>
              <w:t>2/73</w:t>
            </w:r>
          </w:p>
        </w:tc>
        <w:tc>
          <w:tcPr>
            <w:tcW w:w="730" w:type="dxa"/>
            <w:tcBorders>
              <w:right w:val="nil"/>
            </w:tcBorders>
          </w:tcPr>
          <w:p>
            <w:pPr>
              <w:pStyle w:val="TableParagraph"/>
              <w:spacing w:before="24"/>
              <w:ind w:left="184" w:right="186"/>
              <w:jc w:val="center"/>
              <w:rPr>
                <w:sz w:val="16"/>
              </w:rPr>
            </w:pPr>
            <w:r>
              <w:rPr>
                <w:sz w:val="16"/>
              </w:rPr>
              <w:t>2.7</w:t>
            </w:r>
          </w:p>
        </w:tc>
      </w:tr>
      <w:tr>
        <w:trPr>
          <w:trHeight w:val="195" w:hRule="atLeast"/>
        </w:trPr>
        <w:tc>
          <w:tcPr>
            <w:tcW w:w="2250" w:type="dxa"/>
            <w:vMerge w:val="restart"/>
            <w:tcBorders>
              <w:left w:val="nil"/>
            </w:tcBorders>
          </w:tcPr>
          <w:p>
            <w:pPr>
              <w:pStyle w:val="TableParagraph"/>
              <w:spacing w:before="35"/>
              <w:ind w:left="33"/>
              <w:rPr>
                <w:sz w:val="16"/>
              </w:rPr>
            </w:pPr>
            <w:r>
              <w:rPr>
                <w:sz w:val="16"/>
              </w:rPr>
              <w:t>Borderline a Mayor</w:t>
            </w:r>
          </w:p>
          <w:p>
            <w:pPr>
              <w:pStyle w:val="TableParagraph"/>
              <w:ind w:left="33"/>
              <w:rPr>
                <w:sz w:val="16"/>
              </w:rPr>
            </w:pPr>
            <w:r>
              <w:rPr>
                <w:w w:val="95"/>
                <w:sz w:val="16"/>
              </w:rPr>
              <w:t>(200 ~ &lt;240 mg / dl a ≥ 240 mg / dL)</w:t>
            </w:r>
          </w:p>
        </w:tc>
        <w:tc>
          <w:tcPr>
            <w:tcW w:w="1584" w:type="dxa"/>
          </w:tcPr>
          <w:p>
            <w:pPr>
              <w:pStyle w:val="TableParagraph"/>
              <w:spacing w:line="170" w:lineRule="exact" w:before="5"/>
              <w:ind w:left="110" w:right="100"/>
              <w:jc w:val="center"/>
              <w:rPr>
                <w:sz w:val="16"/>
              </w:rPr>
            </w:pPr>
            <w:r>
              <w:rPr>
                <w:w w:val="90"/>
                <w:sz w:val="16"/>
              </w:rPr>
              <w:t>ABILIFY Mantenim</w:t>
            </w:r>
          </w:p>
        </w:tc>
        <w:tc>
          <w:tcPr>
            <w:tcW w:w="720" w:type="dxa"/>
          </w:tcPr>
          <w:p>
            <w:pPr>
              <w:pStyle w:val="TableParagraph"/>
              <w:spacing w:line="170" w:lineRule="exact" w:before="5"/>
              <w:ind w:left="93" w:right="83"/>
              <w:jc w:val="center"/>
              <w:rPr>
                <w:sz w:val="16"/>
              </w:rPr>
            </w:pPr>
            <w:r>
              <w:rPr>
                <w:sz w:val="16"/>
              </w:rPr>
              <w:t>6/27</w:t>
            </w:r>
          </w:p>
        </w:tc>
        <w:tc>
          <w:tcPr>
            <w:tcW w:w="730" w:type="dxa"/>
            <w:tcBorders>
              <w:right w:val="nil"/>
            </w:tcBorders>
          </w:tcPr>
          <w:p>
            <w:pPr>
              <w:pStyle w:val="TableParagraph"/>
              <w:spacing w:line="170" w:lineRule="exact" w:before="5"/>
              <w:ind w:left="184" w:right="186"/>
              <w:jc w:val="center"/>
              <w:rPr>
                <w:sz w:val="16"/>
              </w:rPr>
            </w:pPr>
            <w:r>
              <w:rPr>
                <w:sz w:val="16"/>
              </w:rPr>
              <w:t>22.2</w:t>
            </w:r>
          </w:p>
        </w:tc>
      </w:tr>
      <w:tr>
        <w:trPr>
          <w:trHeight w:val="234" w:hRule="atLeast"/>
        </w:trPr>
        <w:tc>
          <w:tcPr>
            <w:tcW w:w="2250" w:type="dxa"/>
            <w:vMerge/>
            <w:tcBorders>
              <w:top w:val="nil"/>
              <w:left w:val="nil"/>
            </w:tcBorders>
          </w:tcPr>
          <w:p>
            <w:pPr>
              <w:rPr>
                <w:sz w:val="2"/>
                <w:szCs w:val="2"/>
              </w:rPr>
            </w:pPr>
          </w:p>
        </w:tc>
        <w:tc>
          <w:tcPr>
            <w:tcW w:w="1584" w:type="dxa"/>
          </w:tcPr>
          <w:p>
            <w:pPr>
              <w:pStyle w:val="TableParagraph"/>
              <w:spacing w:before="24"/>
              <w:ind w:left="110" w:right="100"/>
              <w:jc w:val="center"/>
              <w:rPr>
                <w:sz w:val="16"/>
              </w:rPr>
            </w:pPr>
            <w:r>
              <w:rPr>
                <w:w w:val="95"/>
                <w:sz w:val="16"/>
              </w:rPr>
              <w:t>Placebo</w:t>
            </w:r>
          </w:p>
        </w:tc>
        <w:tc>
          <w:tcPr>
            <w:tcW w:w="720" w:type="dxa"/>
          </w:tcPr>
          <w:p>
            <w:pPr>
              <w:pStyle w:val="TableParagraph"/>
              <w:spacing w:before="24"/>
              <w:ind w:left="93" w:right="83"/>
              <w:jc w:val="center"/>
              <w:rPr>
                <w:sz w:val="16"/>
              </w:rPr>
            </w:pPr>
            <w:r>
              <w:rPr>
                <w:sz w:val="16"/>
              </w:rPr>
              <w:t>2/19</w:t>
            </w:r>
          </w:p>
        </w:tc>
        <w:tc>
          <w:tcPr>
            <w:tcW w:w="730" w:type="dxa"/>
            <w:tcBorders>
              <w:right w:val="nil"/>
            </w:tcBorders>
          </w:tcPr>
          <w:p>
            <w:pPr>
              <w:pStyle w:val="TableParagraph"/>
              <w:spacing w:before="24"/>
              <w:ind w:left="184" w:right="186"/>
              <w:jc w:val="center"/>
              <w:rPr>
                <w:sz w:val="16"/>
              </w:rPr>
            </w:pPr>
            <w:r>
              <w:rPr>
                <w:sz w:val="16"/>
              </w:rPr>
              <w:t>10.5</w:t>
            </w:r>
          </w:p>
        </w:tc>
      </w:tr>
      <w:tr>
        <w:trPr>
          <w:trHeight w:val="225" w:hRule="atLeast"/>
        </w:trPr>
        <w:tc>
          <w:tcPr>
            <w:tcW w:w="2250" w:type="dxa"/>
            <w:vMerge w:val="restart"/>
            <w:tcBorders>
              <w:left w:val="nil"/>
            </w:tcBorders>
          </w:tcPr>
          <w:p>
            <w:pPr>
              <w:pStyle w:val="TableParagraph"/>
              <w:spacing w:before="35"/>
              <w:ind w:left="34" w:right="1095"/>
              <w:rPr>
                <w:sz w:val="16"/>
              </w:rPr>
            </w:pPr>
            <w:r>
              <w:rPr>
                <w:w w:val="90"/>
                <w:sz w:val="16"/>
              </w:rPr>
              <w:t>Cualquier aumento (≥40 mg / dL)</w:t>
            </w:r>
          </w:p>
        </w:tc>
        <w:tc>
          <w:tcPr>
            <w:tcW w:w="1584" w:type="dxa"/>
          </w:tcPr>
          <w:p>
            <w:pPr>
              <w:pStyle w:val="TableParagraph"/>
              <w:spacing w:before="20"/>
              <w:ind w:left="110" w:right="100"/>
              <w:jc w:val="center"/>
              <w:rPr>
                <w:sz w:val="16"/>
              </w:rPr>
            </w:pPr>
            <w:r>
              <w:rPr>
                <w:w w:val="90"/>
                <w:sz w:val="16"/>
              </w:rPr>
              <w:t>ABILIFY Mantenim</w:t>
            </w:r>
          </w:p>
        </w:tc>
        <w:tc>
          <w:tcPr>
            <w:tcW w:w="720" w:type="dxa"/>
          </w:tcPr>
          <w:p>
            <w:pPr>
              <w:pStyle w:val="TableParagraph"/>
              <w:spacing w:before="20"/>
              <w:ind w:left="93" w:right="83"/>
              <w:jc w:val="center"/>
              <w:rPr>
                <w:sz w:val="16"/>
              </w:rPr>
            </w:pPr>
            <w:r>
              <w:rPr>
                <w:sz w:val="16"/>
              </w:rPr>
              <w:t>15/122</w:t>
            </w:r>
          </w:p>
        </w:tc>
        <w:tc>
          <w:tcPr>
            <w:tcW w:w="730" w:type="dxa"/>
            <w:tcBorders>
              <w:right w:val="nil"/>
            </w:tcBorders>
          </w:tcPr>
          <w:p>
            <w:pPr>
              <w:pStyle w:val="TableParagraph"/>
              <w:spacing w:before="20"/>
              <w:ind w:left="184" w:right="186"/>
              <w:jc w:val="center"/>
              <w:rPr>
                <w:sz w:val="16"/>
              </w:rPr>
            </w:pPr>
            <w:r>
              <w:rPr>
                <w:sz w:val="16"/>
              </w:rPr>
              <w:t>12.3</w:t>
            </w:r>
          </w:p>
        </w:tc>
      </w:tr>
      <w:tr>
        <w:trPr>
          <w:trHeight w:val="204" w:hRule="atLeast"/>
        </w:trPr>
        <w:tc>
          <w:tcPr>
            <w:tcW w:w="2250" w:type="dxa"/>
            <w:vMerge/>
            <w:tcBorders>
              <w:top w:val="nil"/>
              <w:left w:val="nil"/>
            </w:tcBorders>
          </w:tcPr>
          <w:p>
            <w:pPr>
              <w:rPr>
                <w:sz w:val="2"/>
                <w:szCs w:val="2"/>
              </w:rPr>
            </w:pPr>
          </w:p>
        </w:tc>
        <w:tc>
          <w:tcPr>
            <w:tcW w:w="1584" w:type="dxa"/>
          </w:tcPr>
          <w:p>
            <w:pPr>
              <w:pStyle w:val="TableParagraph"/>
              <w:spacing w:line="175" w:lineRule="exact" w:before="9"/>
              <w:ind w:left="110" w:right="100"/>
              <w:jc w:val="center"/>
              <w:rPr>
                <w:sz w:val="16"/>
              </w:rPr>
            </w:pPr>
            <w:r>
              <w:rPr>
                <w:w w:val="95"/>
                <w:sz w:val="16"/>
              </w:rPr>
              <w:t>Placebo</w:t>
            </w:r>
          </w:p>
        </w:tc>
        <w:tc>
          <w:tcPr>
            <w:tcW w:w="720" w:type="dxa"/>
          </w:tcPr>
          <w:p>
            <w:pPr>
              <w:pStyle w:val="TableParagraph"/>
              <w:spacing w:line="175" w:lineRule="exact" w:before="9"/>
              <w:ind w:left="93" w:right="83"/>
              <w:jc w:val="center"/>
              <w:rPr>
                <w:sz w:val="16"/>
              </w:rPr>
            </w:pPr>
            <w:r>
              <w:rPr>
                <w:sz w:val="16"/>
              </w:rPr>
              <w:t>6/110</w:t>
            </w:r>
          </w:p>
        </w:tc>
        <w:tc>
          <w:tcPr>
            <w:tcW w:w="730" w:type="dxa"/>
            <w:tcBorders>
              <w:right w:val="nil"/>
            </w:tcBorders>
          </w:tcPr>
          <w:p>
            <w:pPr>
              <w:pStyle w:val="TableParagraph"/>
              <w:spacing w:line="175" w:lineRule="exact" w:before="9"/>
              <w:ind w:left="184" w:right="186"/>
              <w:jc w:val="center"/>
              <w:rPr>
                <w:sz w:val="16"/>
              </w:rPr>
            </w:pPr>
            <w:r>
              <w:rPr>
                <w:sz w:val="16"/>
              </w:rPr>
              <w:t>5.5</w:t>
            </w:r>
          </w:p>
        </w:tc>
      </w:tr>
      <w:tr>
        <w:trPr>
          <w:trHeight w:val="281" w:hRule="atLeast"/>
        </w:trPr>
        <w:tc>
          <w:tcPr>
            <w:tcW w:w="2250" w:type="dxa"/>
            <w:vMerge w:val="restart"/>
            <w:tcBorders>
              <w:left w:val="nil"/>
            </w:tcBorders>
          </w:tcPr>
          <w:p>
            <w:pPr>
              <w:pStyle w:val="TableParagraph"/>
              <w:spacing w:line="176" w:lineRule="exact"/>
              <w:ind w:left="34"/>
              <w:rPr>
                <w:b/>
                <w:sz w:val="16"/>
              </w:rPr>
            </w:pPr>
            <w:r>
              <w:rPr>
                <w:b/>
                <w:w w:val="95"/>
                <w:sz w:val="16"/>
              </w:rPr>
              <w:t>Los triglicéridos en ayunas</w:t>
            </w:r>
          </w:p>
          <w:p>
            <w:pPr>
              <w:pStyle w:val="TableParagraph"/>
              <w:spacing w:line="170" w:lineRule="exact"/>
              <w:ind w:left="34"/>
              <w:rPr>
                <w:sz w:val="16"/>
              </w:rPr>
            </w:pPr>
            <w:r>
              <w:rPr>
                <w:sz w:val="16"/>
              </w:rPr>
              <w:t>Normal a Alta</w:t>
            </w:r>
          </w:p>
          <w:p>
            <w:pPr>
              <w:pStyle w:val="TableParagraph"/>
              <w:spacing w:line="157" w:lineRule="exact"/>
              <w:ind w:left="34"/>
              <w:rPr>
                <w:sz w:val="16"/>
              </w:rPr>
            </w:pPr>
            <w:r>
              <w:rPr>
                <w:sz w:val="16"/>
              </w:rPr>
              <w:t>(&lt;150 mg / dl a ≥ 200 mg / dL)</w:t>
            </w:r>
          </w:p>
        </w:tc>
        <w:tc>
          <w:tcPr>
            <w:tcW w:w="1584" w:type="dxa"/>
          </w:tcPr>
          <w:p>
            <w:pPr>
              <w:pStyle w:val="TableParagraph"/>
              <w:spacing w:before="48"/>
              <w:ind w:left="111" w:right="100"/>
              <w:jc w:val="center"/>
              <w:rPr>
                <w:sz w:val="16"/>
              </w:rPr>
            </w:pPr>
            <w:r>
              <w:rPr>
                <w:w w:val="90"/>
                <w:sz w:val="16"/>
              </w:rPr>
              <w:t>ABILIFY Mantenim</w:t>
            </w:r>
          </w:p>
        </w:tc>
        <w:tc>
          <w:tcPr>
            <w:tcW w:w="720" w:type="dxa"/>
          </w:tcPr>
          <w:p>
            <w:pPr>
              <w:pStyle w:val="TableParagraph"/>
              <w:spacing w:before="48"/>
              <w:ind w:left="94" w:right="83"/>
              <w:jc w:val="center"/>
              <w:rPr>
                <w:sz w:val="16"/>
              </w:rPr>
            </w:pPr>
            <w:r>
              <w:rPr>
                <w:sz w:val="16"/>
              </w:rPr>
              <w:t>7/98</w:t>
            </w:r>
          </w:p>
        </w:tc>
        <w:tc>
          <w:tcPr>
            <w:tcW w:w="730" w:type="dxa"/>
            <w:tcBorders>
              <w:right w:val="nil"/>
            </w:tcBorders>
          </w:tcPr>
          <w:p>
            <w:pPr>
              <w:pStyle w:val="TableParagraph"/>
              <w:spacing w:before="48"/>
              <w:ind w:left="185" w:right="186"/>
              <w:jc w:val="center"/>
              <w:rPr>
                <w:sz w:val="16"/>
              </w:rPr>
            </w:pPr>
            <w:r>
              <w:rPr>
                <w:sz w:val="16"/>
              </w:rPr>
              <w:t>7.1</w:t>
            </w:r>
          </w:p>
        </w:tc>
      </w:tr>
      <w:tr>
        <w:trPr>
          <w:trHeight w:val="230" w:hRule="atLeast"/>
        </w:trPr>
        <w:tc>
          <w:tcPr>
            <w:tcW w:w="2250" w:type="dxa"/>
            <w:vMerge/>
            <w:tcBorders>
              <w:top w:val="nil"/>
              <w:left w:val="nil"/>
            </w:tcBorders>
          </w:tcPr>
          <w:p>
            <w:pPr>
              <w:rPr>
                <w:sz w:val="2"/>
                <w:szCs w:val="2"/>
              </w:rPr>
            </w:pPr>
          </w:p>
        </w:tc>
        <w:tc>
          <w:tcPr>
            <w:tcW w:w="1584" w:type="dxa"/>
          </w:tcPr>
          <w:p>
            <w:pPr>
              <w:pStyle w:val="TableParagraph"/>
              <w:spacing w:before="22"/>
              <w:ind w:left="111" w:right="100"/>
              <w:jc w:val="center"/>
              <w:rPr>
                <w:sz w:val="16"/>
              </w:rPr>
            </w:pPr>
            <w:r>
              <w:rPr>
                <w:w w:val="95"/>
                <w:sz w:val="16"/>
              </w:rPr>
              <w:t>Placebo</w:t>
            </w:r>
          </w:p>
        </w:tc>
        <w:tc>
          <w:tcPr>
            <w:tcW w:w="720" w:type="dxa"/>
          </w:tcPr>
          <w:p>
            <w:pPr>
              <w:pStyle w:val="TableParagraph"/>
              <w:spacing w:before="22"/>
              <w:ind w:left="94" w:right="83"/>
              <w:jc w:val="center"/>
              <w:rPr>
                <w:sz w:val="16"/>
              </w:rPr>
            </w:pPr>
            <w:r>
              <w:rPr>
                <w:sz w:val="16"/>
              </w:rPr>
              <w:t>4/78</w:t>
            </w:r>
          </w:p>
        </w:tc>
        <w:tc>
          <w:tcPr>
            <w:tcW w:w="730" w:type="dxa"/>
            <w:tcBorders>
              <w:right w:val="nil"/>
            </w:tcBorders>
          </w:tcPr>
          <w:p>
            <w:pPr>
              <w:pStyle w:val="TableParagraph"/>
              <w:spacing w:before="22"/>
              <w:ind w:left="185" w:right="186"/>
              <w:jc w:val="center"/>
              <w:rPr>
                <w:sz w:val="16"/>
              </w:rPr>
            </w:pPr>
            <w:r>
              <w:rPr>
                <w:sz w:val="16"/>
              </w:rPr>
              <w:t>5.1</w:t>
            </w:r>
          </w:p>
        </w:tc>
      </w:tr>
      <w:tr>
        <w:trPr>
          <w:trHeight w:val="211" w:hRule="atLeast"/>
        </w:trPr>
        <w:tc>
          <w:tcPr>
            <w:tcW w:w="2250" w:type="dxa"/>
            <w:vMerge w:val="restart"/>
            <w:tcBorders>
              <w:left w:val="nil"/>
            </w:tcBorders>
          </w:tcPr>
          <w:p>
            <w:pPr>
              <w:pStyle w:val="TableParagraph"/>
              <w:spacing w:before="35"/>
              <w:ind w:left="34"/>
              <w:rPr>
                <w:sz w:val="16"/>
              </w:rPr>
            </w:pPr>
            <w:r>
              <w:rPr>
                <w:sz w:val="16"/>
              </w:rPr>
              <w:t>Borderline a Mayor</w:t>
            </w:r>
          </w:p>
          <w:p>
            <w:pPr>
              <w:pStyle w:val="TableParagraph"/>
              <w:ind w:left="34"/>
              <w:rPr>
                <w:sz w:val="16"/>
              </w:rPr>
            </w:pPr>
            <w:r>
              <w:rPr>
                <w:w w:val="95"/>
                <w:sz w:val="16"/>
              </w:rPr>
              <w:t>(150 ~ &lt;200 mg / dl a ≥ 200 mg / dL)</w:t>
            </w:r>
          </w:p>
        </w:tc>
        <w:tc>
          <w:tcPr>
            <w:tcW w:w="1584" w:type="dxa"/>
          </w:tcPr>
          <w:p>
            <w:pPr>
              <w:pStyle w:val="TableParagraph"/>
              <w:spacing w:line="178" w:lineRule="exact" w:before="13"/>
              <w:ind w:left="111" w:right="100"/>
              <w:jc w:val="center"/>
              <w:rPr>
                <w:sz w:val="16"/>
              </w:rPr>
            </w:pPr>
            <w:r>
              <w:rPr>
                <w:w w:val="90"/>
                <w:sz w:val="16"/>
              </w:rPr>
              <w:t>ABILIFY Mantenim</w:t>
            </w:r>
          </w:p>
        </w:tc>
        <w:tc>
          <w:tcPr>
            <w:tcW w:w="720" w:type="dxa"/>
          </w:tcPr>
          <w:p>
            <w:pPr>
              <w:pStyle w:val="TableParagraph"/>
              <w:spacing w:line="178" w:lineRule="exact" w:before="13"/>
              <w:ind w:left="94" w:right="83"/>
              <w:jc w:val="center"/>
              <w:rPr>
                <w:sz w:val="16"/>
              </w:rPr>
            </w:pPr>
            <w:r>
              <w:rPr>
                <w:sz w:val="16"/>
              </w:rPr>
              <w:t>3/11</w:t>
            </w:r>
          </w:p>
        </w:tc>
        <w:tc>
          <w:tcPr>
            <w:tcW w:w="730" w:type="dxa"/>
            <w:tcBorders>
              <w:right w:val="nil"/>
            </w:tcBorders>
          </w:tcPr>
          <w:p>
            <w:pPr>
              <w:pStyle w:val="TableParagraph"/>
              <w:spacing w:line="178" w:lineRule="exact" w:before="13"/>
              <w:ind w:left="185" w:right="186"/>
              <w:jc w:val="center"/>
              <w:rPr>
                <w:sz w:val="16"/>
              </w:rPr>
            </w:pPr>
            <w:r>
              <w:rPr>
                <w:sz w:val="16"/>
              </w:rPr>
              <w:t>27.3</w:t>
            </w:r>
          </w:p>
        </w:tc>
      </w:tr>
      <w:tr>
        <w:trPr>
          <w:trHeight w:val="218" w:hRule="atLeast"/>
        </w:trPr>
        <w:tc>
          <w:tcPr>
            <w:tcW w:w="2250" w:type="dxa"/>
            <w:vMerge/>
            <w:tcBorders>
              <w:top w:val="nil"/>
              <w:left w:val="nil"/>
            </w:tcBorders>
          </w:tcPr>
          <w:p>
            <w:pPr>
              <w:rPr>
                <w:sz w:val="2"/>
                <w:szCs w:val="2"/>
              </w:rPr>
            </w:pPr>
          </w:p>
        </w:tc>
        <w:tc>
          <w:tcPr>
            <w:tcW w:w="1584" w:type="dxa"/>
          </w:tcPr>
          <w:p>
            <w:pPr>
              <w:pStyle w:val="TableParagraph"/>
              <w:spacing w:line="182" w:lineRule="exact" w:before="16"/>
              <w:ind w:left="111" w:right="100"/>
              <w:jc w:val="center"/>
              <w:rPr>
                <w:sz w:val="16"/>
              </w:rPr>
            </w:pPr>
            <w:r>
              <w:rPr>
                <w:w w:val="95"/>
                <w:sz w:val="16"/>
              </w:rPr>
              <w:t>Placebo</w:t>
            </w:r>
          </w:p>
        </w:tc>
        <w:tc>
          <w:tcPr>
            <w:tcW w:w="720" w:type="dxa"/>
          </w:tcPr>
          <w:p>
            <w:pPr>
              <w:pStyle w:val="TableParagraph"/>
              <w:spacing w:line="182" w:lineRule="exact" w:before="16"/>
              <w:ind w:left="94" w:right="83"/>
              <w:jc w:val="center"/>
              <w:rPr>
                <w:sz w:val="16"/>
              </w:rPr>
            </w:pPr>
            <w:r>
              <w:rPr>
                <w:sz w:val="16"/>
              </w:rPr>
              <w:t>4/15</w:t>
            </w:r>
          </w:p>
        </w:tc>
        <w:tc>
          <w:tcPr>
            <w:tcW w:w="730" w:type="dxa"/>
            <w:tcBorders>
              <w:right w:val="nil"/>
            </w:tcBorders>
          </w:tcPr>
          <w:p>
            <w:pPr>
              <w:pStyle w:val="TableParagraph"/>
              <w:spacing w:line="182" w:lineRule="exact" w:before="16"/>
              <w:ind w:left="185" w:right="186"/>
              <w:jc w:val="center"/>
              <w:rPr>
                <w:sz w:val="16"/>
              </w:rPr>
            </w:pPr>
            <w:r>
              <w:rPr>
                <w:sz w:val="16"/>
              </w:rPr>
              <w:t>26.7</w:t>
            </w:r>
          </w:p>
        </w:tc>
      </w:tr>
      <w:tr>
        <w:trPr>
          <w:trHeight w:val="202" w:hRule="atLeast"/>
        </w:trPr>
        <w:tc>
          <w:tcPr>
            <w:tcW w:w="2250" w:type="dxa"/>
            <w:vMerge w:val="restart"/>
            <w:tcBorders>
              <w:left w:val="nil"/>
            </w:tcBorders>
          </w:tcPr>
          <w:p>
            <w:pPr>
              <w:pStyle w:val="TableParagraph"/>
              <w:spacing w:before="35"/>
              <w:ind w:left="34" w:right="1095"/>
              <w:rPr>
                <w:sz w:val="16"/>
              </w:rPr>
            </w:pPr>
            <w:r>
              <w:rPr>
                <w:w w:val="90"/>
                <w:sz w:val="16"/>
              </w:rPr>
              <w:t>Cualquier aumento (≥50 mg / dL)</w:t>
            </w:r>
          </w:p>
        </w:tc>
        <w:tc>
          <w:tcPr>
            <w:tcW w:w="1584" w:type="dxa"/>
          </w:tcPr>
          <w:p>
            <w:pPr>
              <w:pStyle w:val="TableParagraph"/>
              <w:spacing w:line="174" w:lineRule="exact" w:before="8"/>
              <w:ind w:left="111" w:right="100"/>
              <w:jc w:val="center"/>
              <w:rPr>
                <w:sz w:val="16"/>
              </w:rPr>
            </w:pPr>
            <w:r>
              <w:rPr>
                <w:w w:val="90"/>
                <w:sz w:val="16"/>
              </w:rPr>
              <w:t>ABILIFY Mantenim</w:t>
            </w:r>
          </w:p>
        </w:tc>
        <w:tc>
          <w:tcPr>
            <w:tcW w:w="720" w:type="dxa"/>
          </w:tcPr>
          <w:p>
            <w:pPr>
              <w:pStyle w:val="TableParagraph"/>
              <w:spacing w:line="174" w:lineRule="exact" w:before="8"/>
              <w:ind w:left="94" w:right="83"/>
              <w:jc w:val="center"/>
              <w:rPr>
                <w:sz w:val="16"/>
              </w:rPr>
            </w:pPr>
            <w:r>
              <w:rPr>
                <w:sz w:val="16"/>
              </w:rPr>
              <w:t>24/122</w:t>
            </w:r>
          </w:p>
        </w:tc>
        <w:tc>
          <w:tcPr>
            <w:tcW w:w="730" w:type="dxa"/>
            <w:tcBorders>
              <w:right w:val="nil"/>
            </w:tcBorders>
          </w:tcPr>
          <w:p>
            <w:pPr>
              <w:pStyle w:val="TableParagraph"/>
              <w:spacing w:line="174" w:lineRule="exact" w:before="8"/>
              <w:ind w:left="185" w:right="186"/>
              <w:jc w:val="center"/>
              <w:rPr>
                <w:sz w:val="16"/>
              </w:rPr>
            </w:pPr>
            <w:r>
              <w:rPr>
                <w:sz w:val="16"/>
              </w:rPr>
              <w:t>19.7</w:t>
            </w:r>
          </w:p>
        </w:tc>
      </w:tr>
      <w:tr>
        <w:trPr>
          <w:trHeight w:val="227" w:hRule="atLeast"/>
        </w:trPr>
        <w:tc>
          <w:tcPr>
            <w:tcW w:w="2250" w:type="dxa"/>
            <w:vMerge/>
            <w:tcBorders>
              <w:top w:val="nil"/>
              <w:left w:val="nil"/>
            </w:tcBorders>
          </w:tcPr>
          <w:p>
            <w:pPr>
              <w:rPr>
                <w:sz w:val="2"/>
                <w:szCs w:val="2"/>
              </w:rPr>
            </w:pPr>
          </w:p>
        </w:tc>
        <w:tc>
          <w:tcPr>
            <w:tcW w:w="1584" w:type="dxa"/>
          </w:tcPr>
          <w:p>
            <w:pPr>
              <w:pStyle w:val="TableParagraph"/>
              <w:spacing w:before="21"/>
              <w:ind w:left="111" w:right="100"/>
              <w:jc w:val="center"/>
              <w:rPr>
                <w:sz w:val="16"/>
              </w:rPr>
            </w:pPr>
            <w:r>
              <w:rPr>
                <w:w w:val="95"/>
                <w:sz w:val="16"/>
              </w:rPr>
              <w:t>Placebo</w:t>
            </w:r>
          </w:p>
        </w:tc>
        <w:tc>
          <w:tcPr>
            <w:tcW w:w="720" w:type="dxa"/>
          </w:tcPr>
          <w:p>
            <w:pPr>
              <w:pStyle w:val="TableParagraph"/>
              <w:spacing w:before="21"/>
              <w:ind w:left="94" w:right="83"/>
              <w:jc w:val="center"/>
              <w:rPr>
                <w:sz w:val="16"/>
              </w:rPr>
            </w:pPr>
            <w:r>
              <w:rPr>
                <w:sz w:val="16"/>
              </w:rPr>
              <w:t>20/110</w:t>
            </w:r>
          </w:p>
        </w:tc>
        <w:tc>
          <w:tcPr>
            <w:tcW w:w="730" w:type="dxa"/>
            <w:tcBorders>
              <w:right w:val="nil"/>
            </w:tcBorders>
          </w:tcPr>
          <w:p>
            <w:pPr>
              <w:pStyle w:val="TableParagraph"/>
              <w:spacing w:before="21"/>
              <w:ind w:left="185" w:right="186"/>
              <w:jc w:val="center"/>
              <w:rPr>
                <w:sz w:val="16"/>
              </w:rPr>
            </w:pPr>
            <w:r>
              <w:rPr>
                <w:sz w:val="16"/>
              </w:rPr>
              <w:t>18.2</w:t>
            </w:r>
          </w:p>
        </w:tc>
      </w:tr>
      <w:tr>
        <w:trPr>
          <w:trHeight w:val="265" w:hRule="atLeast"/>
        </w:trPr>
        <w:tc>
          <w:tcPr>
            <w:tcW w:w="2250" w:type="dxa"/>
            <w:vMerge w:val="restart"/>
            <w:tcBorders>
              <w:left w:val="nil"/>
            </w:tcBorders>
          </w:tcPr>
          <w:p>
            <w:pPr>
              <w:pStyle w:val="TableParagraph"/>
              <w:spacing w:line="177" w:lineRule="exact" w:before="2"/>
              <w:ind w:left="34"/>
              <w:rPr>
                <w:b/>
                <w:sz w:val="16"/>
              </w:rPr>
            </w:pPr>
            <w:r>
              <w:rPr>
                <w:b/>
                <w:w w:val="95"/>
                <w:sz w:val="16"/>
              </w:rPr>
              <w:t>El ayuno del colesterol LDL</w:t>
            </w:r>
          </w:p>
          <w:p>
            <w:pPr>
              <w:pStyle w:val="TableParagraph"/>
              <w:spacing w:line="170" w:lineRule="exact"/>
              <w:ind w:left="34"/>
              <w:rPr>
                <w:sz w:val="16"/>
              </w:rPr>
            </w:pPr>
            <w:r>
              <w:rPr>
                <w:sz w:val="16"/>
              </w:rPr>
              <w:t>Normal a Alta</w:t>
            </w:r>
          </w:p>
          <w:p>
            <w:pPr>
              <w:pStyle w:val="TableParagraph"/>
              <w:spacing w:line="161" w:lineRule="exact"/>
              <w:ind w:left="34"/>
              <w:rPr>
                <w:sz w:val="16"/>
              </w:rPr>
            </w:pPr>
            <w:r>
              <w:rPr>
                <w:sz w:val="16"/>
              </w:rPr>
              <w:t>(&lt;100 mg / dl a ≥160 mg / dL)</w:t>
            </w:r>
          </w:p>
        </w:tc>
        <w:tc>
          <w:tcPr>
            <w:tcW w:w="1584" w:type="dxa"/>
          </w:tcPr>
          <w:p>
            <w:pPr>
              <w:pStyle w:val="TableParagraph"/>
              <w:spacing w:before="40"/>
              <w:ind w:left="111" w:right="99"/>
              <w:jc w:val="center"/>
              <w:rPr>
                <w:sz w:val="16"/>
              </w:rPr>
            </w:pPr>
            <w:r>
              <w:rPr>
                <w:w w:val="90"/>
                <w:sz w:val="16"/>
              </w:rPr>
              <w:t>ABILIFY Mantenim</w:t>
            </w:r>
          </w:p>
        </w:tc>
        <w:tc>
          <w:tcPr>
            <w:tcW w:w="720" w:type="dxa"/>
          </w:tcPr>
          <w:p>
            <w:pPr>
              <w:pStyle w:val="TableParagraph"/>
              <w:spacing w:before="40"/>
              <w:ind w:left="95" w:right="83"/>
              <w:jc w:val="center"/>
              <w:rPr>
                <w:sz w:val="16"/>
              </w:rPr>
            </w:pPr>
            <w:r>
              <w:rPr>
                <w:sz w:val="16"/>
              </w:rPr>
              <w:t>1/59</w:t>
            </w:r>
          </w:p>
        </w:tc>
        <w:tc>
          <w:tcPr>
            <w:tcW w:w="730" w:type="dxa"/>
            <w:tcBorders>
              <w:right w:val="nil"/>
            </w:tcBorders>
          </w:tcPr>
          <w:p>
            <w:pPr>
              <w:pStyle w:val="TableParagraph"/>
              <w:spacing w:before="40"/>
              <w:ind w:left="185" w:right="185"/>
              <w:jc w:val="center"/>
              <w:rPr>
                <w:sz w:val="16"/>
              </w:rPr>
            </w:pPr>
            <w:r>
              <w:rPr>
                <w:sz w:val="16"/>
              </w:rPr>
              <w:t>1.7</w:t>
            </w:r>
          </w:p>
        </w:tc>
      </w:tr>
      <w:tr>
        <w:trPr>
          <w:trHeight w:val="254" w:hRule="atLeast"/>
        </w:trPr>
        <w:tc>
          <w:tcPr>
            <w:tcW w:w="2250" w:type="dxa"/>
            <w:vMerge/>
            <w:tcBorders>
              <w:top w:val="nil"/>
              <w:left w:val="nil"/>
            </w:tcBorders>
          </w:tcPr>
          <w:p>
            <w:pPr>
              <w:rPr>
                <w:sz w:val="2"/>
                <w:szCs w:val="2"/>
              </w:rPr>
            </w:pPr>
          </w:p>
        </w:tc>
        <w:tc>
          <w:tcPr>
            <w:tcW w:w="1584" w:type="dxa"/>
          </w:tcPr>
          <w:p>
            <w:pPr>
              <w:pStyle w:val="TableParagraph"/>
              <w:spacing w:before="34"/>
              <w:ind w:left="111" w:right="99"/>
              <w:jc w:val="center"/>
              <w:rPr>
                <w:sz w:val="16"/>
              </w:rPr>
            </w:pPr>
            <w:r>
              <w:rPr>
                <w:w w:val="95"/>
                <w:sz w:val="16"/>
              </w:rPr>
              <w:t>Placebo</w:t>
            </w:r>
          </w:p>
        </w:tc>
        <w:tc>
          <w:tcPr>
            <w:tcW w:w="720" w:type="dxa"/>
          </w:tcPr>
          <w:p>
            <w:pPr>
              <w:pStyle w:val="TableParagraph"/>
              <w:spacing w:before="34"/>
              <w:ind w:left="95" w:right="83"/>
              <w:jc w:val="center"/>
              <w:rPr>
                <w:sz w:val="16"/>
              </w:rPr>
            </w:pPr>
            <w:r>
              <w:rPr>
                <w:sz w:val="16"/>
              </w:rPr>
              <w:t>1/51</w:t>
            </w:r>
          </w:p>
        </w:tc>
        <w:tc>
          <w:tcPr>
            <w:tcW w:w="730" w:type="dxa"/>
            <w:tcBorders>
              <w:right w:val="nil"/>
            </w:tcBorders>
          </w:tcPr>
          <w:p>
            <w:pPr>
              <w:pStyle w:val="TableParagraph"/>
              <w:spacing w:before="34"/>
              <w:ind w:left="185" w:right="185"/>
              <w:jc w:val="center"/>
              <w:rPr>
                <w:sz w:val="16"/>
              </w:rPr>
            </w:pPr>
            <w:r>
              <w:rPr>
                <w:sz w:val="16"/>
              </w:rPr>
              <w:t>2.0</w:t>
            </w:r>
          </w:p>
        </w:tc>
      </w:tr>
      <w:tr>
        <w:trPr>
          <w:trHeight w:val="195" w:hRule="atLeast"/>
        </w:trPr>
        <w:tc>
          <w:tcPr>
            <w:tcW w:w="2250" w:type="dxa"/>
            <w:vMerge w:val="restart"/>
            <w:tcBorders>
              <w:left w:val="nil"/>
            </w:tcBorders>
          </w:tcPr>
          <w:p>
            <w:pPr>
              <w:pStyle w:val="TableParagraph"/>
              <w:spacing w:before="35"/>
              <w:ind w:left="34"/>
              <w:rPr>
                <w:sz w:val="16"/>
              </w:rPr>
            </w:pPr>
            <w:r>
              <w:rPr>
                <w:sz w:val="16"/>
              </w:rPr>
              <w:t>Borderline a Mayor</w:t>
            </w:r>
          </w:p>
          <w:p>
            <w:pPr>
              <w:pStyle w:val="TableParagraph"/>
              <w:ind w:left="34"/>
              <w:rPr>
                <w:sz w:val="16"/>
              </w:rPr>
            </w:pPr>
            <w:r>
              <w:rPr>
                <w:w w:val="95"/>
                <w:sz w:val="16"/>
              </w:rPr>
              <w:t>(100 ~ &lt;160 mg / dl a ≥160 mg / dL)</w:t>
            </w:r>
          </w:p>
        </w:tc>
        <w:tc>
          <w:tcPr>
            <w:tcW w:w="1584" w:type="dxa"/>
          </w:tcPr>
          <w:p>
            <w:pPr>
              <w:pStyle w:val="TableParagraph"/>
              <w:spacing w:line="170" w:lineRule="exact" w:before="5"/>
              <w:ind w:left="111" w:right="99"/>
              <w:jc w:val="center"/>
              <w:rPr>
                <w:sz w:val="16"/>
              </w:rPr>
            </w:pPr>
            <w:r>
              <w:rPr>
                <w:w w:val="90"/>
                <w:sz w:val="16"/>
              </w:rPr>
              <w:t>ABILIFY Mantenim</w:t>
            </w:r>
          </w:p>
        </w:tc>
        <w:tc>
          <w:tcPr>
            <w:tcW w:w="720" w:type="dxa"/>
          </w:tcPr>
          <w:p>
            <w:pPr>
              <w:pStyle w:val="TableParagraph"/>
              <w:spacing w:line="170" w:lineRule="exact" w:before="5"/>
              <w:ind w:left="95" w:right="83"/>
              <w:jc w:val="center"/>
              <w:rPr>
                <w:sz w:val="16"/>
              </w:rPr>
            </w:pPr>
            <w:r>
              <w:rPr>
                <w:sz w:val="16"/>
              </w:rPr>
              <w:t>5/52</w:t>
            </w:r>
          </w:p>
        </w:tc>
        <w:tc>
          <w:tcPr>
            <w:tcW w:w="730" w:type="dxa"/>
            <w:tcBorders>
              <w:right w:val="nil"/>
            </w:tcBorders>
          </w:tcPr>
          <w:p>
            <w:pPr>
              <w:pStyle w:val="TableParagraph"/>
              <w:spacing w:line="170" w:lineRule="exact" w:before="5"/>
              <w:ind w:left="185" w:right="185"/>
              <w:jc w:val="center"/>
              <w:rPr>
                <w:sz w:val="16"/>
              </w:rPr>
            </w:pPr>
            <w:r>
              <w:rPr>
                <w:sz w:val="16"/>
              </w:rPr>
              <w:t>9.6</w:t>
            </w:r>
          </w:p>
        </w:tc>
      </w:tr>
      <w:tr>
        <w:trPr>
          <w:trHeight w:val="234" w:hRule="atLeast"/>
        </w:trPr>
        <w:tc>
          <w:tcPr>
            <w:tcW w:w="2250" w:type="dxa"/>
            <w:vMerge/>
            <w:tcBorders>
              <w:top w:val="nil"/>
              <w:left w:val="nil"/>
            </w:tcBorders>
          </w:tcPr>
          <w:p>
            <w:pPr>
              <w:rPr>
                <w:sz w:val="2"/>
                <w:szCs w:val="2"/>
              </w:rPr>
            </w:pPr>
          </w:p>
        </w:tc>
        <w:tc>
          <w:tcPr>
            <w:tcW w:w="1584" w:type="dxa"/>
          </w:tcPr>
          <w:p>
            <w:pPr>
              <w:pStyle w:val="TableParagraph"/>
              <w:spacing w:before="24"/>
              <w:ind w:left="111" w:right="99"/>
              <w:jc w:val="center"/>
              <w:rPr>
                <w:sz w:val="16"/>
              </w:rPr>
            </w:pPr>
            <w:r>
              <w:rPr>
                <w:w w:val="95"/>
                <w:sz w:val="16"/>
              </w:rPr>
              <w:t>Placebo</w:t>
            </w:r>
          </w:p>
        </w:tc>
        <w:tc>
          <w:tcPr>
            <w:tcW w:w="720" w:type="dxa"/>
          </w:tcPr>
          <w:p>
            <w:pPr>
              <w:pStyle w:val="TableParagraph"/>
              <w:spacing w:before="24"/>
              <w:ind w:left="95" w:right="83"/>
              <w:jc w:val="center"/>
              <w:rPr>
                <w:sz w:val="16"/>
              </w:rPr>
            </w:pPr>
            <w:r>
              <w:rPr>
                <w:sz w:val="16"/>
              </w:rPr>
              <w:t>1/41</w:t>
            </w:r>
          </w:p>
        </w:tc>
        <w:tc>
          <w:tcPr>
            <w:tcW w:w="730" w:type="dxa"/>
            <w:tcBorders>
              <w:right w:val="nil"/>
            </w:tcBorders>
          </w:tcPr>
          <w:p>
            <w:pPr>
              <w:pStyle w:val="TableParagraph"/>
              <w:spacing w:before="24"/>
              <w:ind w:left="185" w:right="185"/>
              <w:jc w:val="center"/>
              <w:rPr>
                <w:sz w:val="16"/>
              </w:rPr>
            </w:pPr>
            <w:r>
              <w:rPr>
                <w:sz w:val="16"/>
              </w:rPr>
              <w:t>2.4</w:t>
            </w:r>
          </w:p>
        </w:tc>
      </w:tr>
      <w:tr>
        <w:trPr>
          <w:trHeight w:val="212" w:hRule="atLeast"/>
        </w:trPr>
        <w:tc>
          <w:tcPr>
            <w:tcW w:w="2250" w:type="dxa"/>
            <w:vMerge w:val="restart"/>
            <w:tcBorders>
              <w:left w:val="nil"/>
            </w:tcBorders>
          </w:tcPr>
          <w:p>
            <w:pPr>
              <w:pStyle w:val="TableParagraph"/>
              <w:spacing w:before="26"/>
              <w:ind w:left="35" w:right="1095"/>
              <w:rPr>
                <w:sz w:val="16"/>
              </w:rPr>
            </w:pPr>
            <w:r>
              <w:rPr>
                <w:w w:val="90"/>
                <w:sz w:val="16"/>
              </w:rPr>
              <w:t>Cualquier aumento (≥30 mg / dL)</w:t>
            </w:r>
          </w:p>
        </w:tc>
        <w:tc>
          <w:tcPr>
            <w:tcW w:w="1584" w:type="dxa"/>
          </w:tcPr>
          <w:p>
            <w:pPr>
              <w:pStyle w:val="TableParagraph"/>
              <w:spacing w:line="179" w:lineRule="exact" w:before="14"/>
              <w:ind w:left="111" w:right="99"/>
              <w:jc w:val="center"/>
              <w:rPr>
                <w:sz w:val="16"/>
              </w:rPr>
            </w:pPr>
            <w:r>
              <w:rPr>
                <w:w w:val="90"/>
                <w:sz w:val="16"/>
              </w:rPr>
              <w:t>ABILIFY Mantenim</w:t>
            </w:r>
          </w:p>
        </w:tc>
        <w:tc>
          <w:tcPr>
            <w:tcW w:w="720" w:type="dxa"/>
          </w:tcPr>
          <w:p>
            <w:pPr>
              <w:pStyle w:val="TableParagraph"/>
              <w:spacing w:line="179" w:lineRule="exact" w:before="14"/>
              <w:ind w:left="95" w:right="83"/>
              <w:jc w:val="center"/>
              <w:rPr>
                <w:sz w:val="16"/>
              </w:rPr>
            </w:pPr>
            <w:r>
              <w:rPr>
                <w:sz w:val="16"/>
              </w:rPr>
              <w:t>17/120</w:t>
            </w:r>
          </w:p>
        </w:tc>
        <w:tc>
          <w:tcPr>
            <w:tcW w:w="730" w:type="dxa"/>
            <w:tcBorders>
              <w:right w:val="nil"/>
            </w:tcBorders>
          </w:tcPr>
          <w:p>
            <w:pPr>
              <w:pStyle w:val="TableParagraph"/>
              <w:spacing w:line="179" w:lineRule="exact" w:before="14"/>
              <w:ind w:left="185" w:right="185"/>
              <w:jc w:val="center"/>
              <w:rPr>
                <w:sz w:val="16"/>
              </w:rPr>
            </w:pPr>
            <w:r>
              <w:rPr>
                <w:sz w:val="16"/>
              </w:rPr>
              <w:t>14.2</w:t>
            </w:r>
          </w:p>
        </w:tc>
      </w:tr>
      <w:tr>
        <w:trPr>
          <w:trHeight w:val="199" w:hRule="atLeast"/>
        </w:trPr>
        <w:tc>
          <w:tcPr>
            <w:tcW w:w="2250" w:type="dxa"/>
            <w:vMerge/>
            <w:tcBorders>
              <w:top w:val="nil"/>
              <w:left w:val="nil"/>
            </w:tcBorders>
          </w:tcPr>
          <w:p>
            <w:pPr>
              <w:rPr>
                <w:sz w:val="2"/>
                <w:szCs w:val="2"/>
              </w:rPr>
            </w:pPr>
          </w:p>
        </w:tc>
        <w:tc>
          <w:tcPr>
            <w:tcW w:w="1584" w:type="dxa"/>
          </w:tcPr>
          <w:p>
            <w:pPr>
              <w:pStyle w:val="TableParagraph"/>
              <w:spacing w:line="172" w:lineRule="exact" w:before="7"/>
              <w:ind w:left="111" w:right="99"/>
              <w:jc w:val="center"/>
              <w:rPr>
                <w:sz w:val="16"/>
              </w:rPr>
            </w:pPr>
            <w:r>
              <w:rPr>
                <w:w w:val="95"/>
                <w:sz w:val="16"/>
              </w:rPr>
              <w:t>Placebo</w:t>
            </w:r>
          </w:p>
        </w:tc>
        <w:tc>
          <w:tcPr>
            <w:tcW w:w="720" w:type="dxa"/>
          </w:tcPr>
          <w:p>
            <w:pPr>
              <w:pStyle w:val="TableParagraph"/>
              <w:spacing w:line="172" w:lineRule="exact" w:before="7"/>
              <w:ind w:left="95" w:right="83"/>
              <w:jc w:val="center"/>
              <w:rPr>
                <w:sz w:val="16"/>
              </w:rPr>
            </w:pPr>
            <w:r>
              <w:rPr>
                <w:sz w:val="16"/>
              </w:rPr>
              <w:t>9/103</w:t>
            </w:r>
          </w:p>
        </w:tc>
        <w:tc>
          <w:tcPr>
            <w:tcW w:w="730" w:type="dxa"/>
            <w:tcBorders>
              <w:right w:val="nil"/>
            </w:tcBorders>
          </w:tcPr>
          <w:p>
            <w:pPr>
              <w:pStyle w:val="TableParagraph"/>
              <w:spacing w:line="172" w:lineRule="exact" w:before="7"/>
              <w:ind w:left="185" w:right="185"/>
              <w:jc w:val="center"/>
              <w:rPr>
                <w:sz w:val="16"/>
              </w:rPr>
            </w:pPr>
            <w:r>
              <w:rPr>
                <w:sz w:val="16"/>
              </w:rPr>
              <w:t>8.7</w:t>
            </w:r>
          </w:p>
        </w:tc>
      </w:tr>
      <w:tr>
        <w:trPr>
          <w:trHeight w:val="248" w:hRule="atLeast"/>
        </w:trPr>
        <w:tc>
          <w:tcPr>
            <w:tcW w:w="2250" w:type="dxa"/>
            <w:vMerge w:val="restart"/>
            <w:tcBorders>
              <w:left w:val="nil"/>
            </w:tcBorders>
          </w:tcPr>
          <w:p>
            <w:pPr>
              <w:pStyle w:val="TableParagraph"/>
              <w:spacing w:line="177" w:lineRule="exact" w:before="2"/>
              <w:ind w:left="35"/>
              <w:rPr>
                <w:b/>
                <w:sz w:val="16"/>
              </w:rPr>
            </w:pPr>
            <w:r>
              <w:rPr>
                <w:b/>
                <w:w w:val="95"/>
                <w:sz w:val="16"/>
              </w:rPr>
              <w:t>Colesterol HDL</w:t>
            </w:r>
          </w:p>
          <w:p>
            <w:pPr>
              <w:pStyle w:val="TableParagraph"/>
              <w:spacing w:line="170" w:lineRule="exact"/>
              <w:ind w:left="35"/>
              <w:rPr>
                <w:sz w:val="16"/>
              </w:rPr>
            </w:pPr>
            <w:r>
              <w:rPr>
                <w:sz w:val="16"/>
              </w:rPr>
              <w:t>Normal a baja</w:t>
            </w:r>
          </w:p>
          <w:p>
            <w:pPr>
              <w:pStyle w:val="TableParagraph"/>
              <w:spacing w:line="161" w:lineRule="exact"/>
              <w:ind w:left="35"/>
              <w:rPr>
                <w:sz w:val="16"/>
              </w:rPr>
            </w:pPr>
            <w:r>
              <w:rPr>
                <w:sz w:val="16"/>
              </w:rPr>
              <w:t>(≥40 mg / dL a &lt;40 mg / dL)</w:t>
            </w:r>
          </w:p>
        </w:tc>
        <w:tc>
          <w:tcPr>
            <w:tcW w:w="1584" w:type="dxa"/>
          </w:tcPr>
          <w:p>
            <w:pPr>
              <w:pStyle w:val="TableParagraph"/>
              <w:spacing w:before="31"/>
              <w:ind w:left="111" w:right="98"/>
              <w:jc w:val="center"/>
              <w:rPr>
                <w:sz w:val="16"/>
              </w:rPr>
            </w:pPr>
            <w:r>
              <w:rPr>
                <w:w w:val="90"/>
                <w:sz w:val="16"/>
              </w:rPr>
              <w:t>ABILIFY Mantenim</w:t>
            </w:r>
          </w:p>
        </w:tc>
        <w:tc>
          <w:tcPr>
            <w:tcW w:w="720" w:type="dxa"/>
          </w:tcPr>
          <w:p>
            <w:pPr>
              <w:pStyle w:val="TableParagraph"/>
              <w:spacing w:before="31"/>
              <w:ind w:left="95" w:right="82"/>
              <w:jc w:val="center"/>
              <w:rPr>
                <w:sz w:val="16"/>
              </w:rPr>
            </w:pPr>
            <w:r>
              <w:rPr>
                <w:sz w:val="16"/>
              </w:rPr>
              <w:t>14/104</w:t>
            </w:r>
          </w:p>
        </w:tc>
        <w:tc>
          <w:tcPr>
            <w:tcW w:w="730" w:type="dxa"/>
            <w:tcBorders>
              <w:right w:val="nil"/>
            </w:tcBorders>
          </w:tcPr>
          <w:p>
            <w:pPr>
              <w:pStyle w:val="TableParagraph"/>
              <w:spacing w:before="31"/>
              <w:ind w:left="185" w:right="186"/>
              <w:jc w:val="center"/>
              <w:rPr>
                <w:sz w:val="16"/>
              </w:rPr>
            </w:pPr>
            <w:r>
              <w:rPr>
                <w:sz w:val="16"/>
              </w:rPr>
              <w:t>13.5</w:t>
            </w:r>
          </w:p>
        </w:tc>
      </w:tr>
      <w:tr>
        <w:trPr>
          <w:trHeight w:val="271" w:hRule="atLeast"/>
        </w:trPr>
        <w:tc>
          <w:tcPr>
            <w:tcW w:w="2250" w:type="dxa"/>
            <w:vMerge/>
            <w:tcBorders>
              <w:top w:val="nil"/>
              <w:left w:val="nil"/>
            </w:tcBorders>
          </w:tcPr>
          <w:p>
            <w:pPr>
              <w:rPr>
                <w:sz w:val="2"/>
                <w:szCs w:val="2"/>
              </w:rPr>
            </w:pPr>
          </w:p>
        </w:tc>
        <w:tc>
          <w:tcPr>
            <w:tcW w:w="1584" w:type="dxa"/>
          </w:tcPr>
          <w:p>
            <w:pPr>
              <w:pStyle w:val="TableParagraph"/>
              <w:spacing w:before="42"/>
              <w:ind w:left="111" w:right="98"/>
              <w:jc w:val="center"/>
              <w:rPr>
                <w:sz w:val="16"/>
              </w:rPr>
            </w:pPr>
            <w:r>
              <w:rPr>
                <w:w w:val="95"/>
                <w:sz w:val="16"/>
              </w:rPr>
              <w:t>Placebo</w:t>
            </w:r>
          </w:p>
        </w:tc>
        <w:tc>
          <w:tcPr>
            <w:tcW w:w="720" w:type="dxa"/>
          </w:tcPr>
          <w:p>
            <w:pPr>
              <w:pStyle w:val="TableParagraph"/>
              <w:spacing w:before="42"/>
              <w:ind w:left="95" w:right="82"/>
              <w:jc w:val="center"/>
              <w:rPr>
                <w:sz w:val="16"/>
              </w:rPr>
            </w:pPr>
            <w:r>
              <w:rPr>
                <w:sz w:val="16"/>
              </w:rPr>
              <w:t>11/87</w:t>
            </w:r>
          </w:p>
        </w:tc>
        <w:tc>
          <w:tcPr>
            <w:tcW w:w="730" w:type="dxa"/>
            <w:tcBorders>
              <w:right w:val="nil"/>
            </w:tcBorders>
          </w:tcPr>
          <w:p>
            <w:pPr>
              <w:pStyle w:val="TableParagraph"/>
              <w:spacing w:before="42"/>
              <w:ind w:left="185" w:right="186"/>
              <w:jc w:val="center"/>
              <w:rPr>
                <w:sz w:val="16"/>
              </w:rPr>
            </w:pPr>
            <w:r>
              <w:rPr>
                <w:sz w:val="16"/>
              </w:rPr>
              <w:t>12.6</w:t>
            </w:r>
          </w:p>
        </w:tc>
      </w:tr>
      <w:tr>
        <w:trPr>
          <w:trHeight w:val="205" w:hRule="atLeast"/>
        </w:trPr>
        <w:tc>
          <w:tcPr>
            <w:tcW w:w="2250" w:type="dxa"/>
            <w:vMerge w:val="restart"/>
            <w:tcBorders>
              <w:left w:val="nil"/>
            </w:tcBorders>
          </w:tcPr>
          <w:p>
            <w:pPr>
              <w:pStyle w:val="TableParagraph"/>
              <w:spacing w:before="35"/>
              <w:ind w:left="35" w:right="1095"/>
              <w:rPr>
                <w:sz w:val="16"/>
              </w:rPr>
            </w:pPr>
            <w:r>
              <w:rPr>
                <w:w w:val="90"/>
                <w:sz w:val="16"/>
              </w:rPr>
              <w:t>Cualquier disminución (≥20 mg / dL)</w:t>
            </w:r>
          </w:p>
        </w:tc>
        <w:tc>
          <w:tcPr>
            <w:tcW w:w="1584" w:type="dxa"/>
          </w:tcPr>
          <w:p>
            <w:pPr>
              <w:pStyle w:val="TableParagraph"/>
              <w:spacing w:line="176" w:lineRule="exact" w:before="10"/>
              <w:ind w:left="111" w:right="98"/>
              <w:jc w:val="center"/>
              <w:rPr>
                <w:sz w:val="16"/>
              </w:rPr>
            </w:pPr>
            <w:r>
              <w:rPr>
                <w:w w:val="90"/>
                <w:sz w:val="16"/>
              </w:rPr>
              <w:t>ABILIFY Mantenim</w:t>
            </w:r>
          </w:p>
        </w:tc>
        <w:tc>
          <w:tcPr>
            <w:tcW w:w="720" w:type="dxa"/>
          </w:tcPr>
          <w:p>
            <w:pPr>
              <w:pStyle w:val="TableParagraph"/>
              <w:spacing w:line="176" w:lineRule="exact" w:before="10"/>
              <w:ind w:left="95" w:right="82"/>
              <w:jc w:val="center"/>
              <w:rPr>
                <w:sz w:val="16"/>
              </w:rPr>
            </w:pPr>
            <w:r>
              <w:rPr>
                <w:sz w:val="16"/>
              </w:rPr>
              <w:t>7/122</w:t>
            </w:r>
          </w:p>
        </w:tc>
        <w:tc>
          <w:tcPr>
            <w:tcW w:w="730" w:type="dxa"/>
            <w:tcBorders>
              <w:right w:val="nil"/>
            </w:tcBorders>
          </w:tcPr>
          <w:p>
            <w:pPr>
              <w:pStyle w:val="TableParagraph"/>
              <w:spacing w:line="176" w:lineRule="exact" w:before="10"/>
              <w:ind w:left="185" w:right="186"/>
              <w:jc w:val="center"/>
              <w:rPr>
                <w:sz w:val="16"/>
              </w:rPr>
            </w:pPr>
            <w:r>
              <w:rPr>
                <w:sz w:val="16"/>
              </w:rPr>
              <w:t>5.7</w:t>
            </w:r>
          </w:p>
        </w:tc>
      </w:tr>
      <w:tr>
        <w:trPr>
          <w:trHeight w:val="224" w:hRule="atLeast"/>
        </w:trPr>
        <w:tc>
          <w:tcPr>
            <w:tcW w:w="2250" w:type="dxa"/>
            <w:vMerge/>
            <w:tcBorders>
              <w:top w:val="nil"/>
              <w:left w:val="nil"/>
            </w:tcBorders>
          </w:tcPr>
          <w:p>
            <w:pPr>
              <w:rPr>
                <w:sz w:val="2"/>
                <w:szCs w:val="2"/>
              </w:rPr>
            </w:pPr>
          </w:p>
        </w:tc>
        <w:tc>
          <w:tcPr>
            <w:tcW w:w="1584" w:type="dxa"/>
          </w:tcPr>
          <w:p>
            <w:pPr>
              <w:pStyle w:val="TableParagraph"/>
              <w:spacing w:before="19"/>
              <w:ind w:left="111" w:right="98"/>
              <w:jc w:val="center"/>
              <w:rPr>
                <w:sz w:val="16"/>
              </w:rPr>
            </w:pPr>
            <w:r>
              <w:rPr>
                <w:w w:val="95"/>
                <w:sz w:val="16"/>
              </w:rPr>
              <w:t>Placebo</w:t>
            </w:r>
          </w:p>
        </w:tc>
        <w:tc>
          <w:tcPr>
            <w:tcW w:w="720" w:type="dxa"/>
          </w:tcPr>
          <w:p>
            <w:pPr>
              <w:pStyle w:val="TableParagraph"/>
              <w:spacing w:before="19"/>
              <w:ind w:left="95" w:right="82"/>
              <w:jc w:val="center"/>
              <w:rPr>
                <w:sz w:val="16"/>
              </w:rPr>
            </w:pPr>
            <w:r>
              <w:rPr>
                <w:sz w:val="16"/>
              </w:rPr>
              <w:t>12/110</w:t>
            </w:r>
          </w:p>
        </w:tc>
        <w:tc>
          <w:tcPr>
            <w:tcW w:w="730" w:type="dxa"/>
            <w:tcBorders>
              <w:right w:val="nil"/>
            </w:tcBorders>
          </w:tcPr>
          <w:p>
            <w:pPr>
              <w:pStyle w:val="TableParagraph"/>
              <w:spacing w:before="19"/>
              <w:ind w:left="185" w:right="186"/>
              <w:jc w:val="center"/>
              <w:rPr>
                <w:sz w:val="16"/>
              </w:rPr>
            </w:pPr>
            <w:r>
              <w:rPr>
                <w:sz w:val="16"/>
              </w:rPr>
              <w:t>10.9</w:t>
            </w:r>
          </w:p>
        </w:tc>
      </w:tr>
    </w:tbl>
    <w:p>
      <w:pPr>
        <w:pStyle w:val="BodyText"/>
        <w:spacing w:line="208" w:lineRule="auto" w:before="70"/>
        <w:ind w:left="260" w:right="708" w:hanging="120"/>
      </w:pPr>
      <w:r>
        <w:rPr>
          <w:w w:val="95"/>
          <w:position w:val="6"/>
          <w:sz w:val="10"/>
        </w:rPr>
        <w:t>una </w:t>
      </w:r>
      <w:r>
        <w:rPr>
          <w:w w:val="95"/>
        </w:rPr>
        <w:t>N = el número total de sujetos que tenían una medición al inicio del estudio y al menos </w:t>
      </w:r>
      <w:r>
        <w:rPr/>
        <w:t>Uno de los resultados post-línea de base.</w:t>
      </w:r>
    </w:p>
    <w:p>
      <w:pPr>
        <w:pStyle w:val="BodyText"/>
        <w:spacing w:line="164" w:lineRule="exact"/>
        <w:ind w:left="260"/>
      </w:pPr>
      <w:r>
        <w:rPr/>
        <w:t>n = el número de sujetos con un cambio potencialmente clínicamente relevante.</w:t>
      </w:r>
    </w:p>
    <w:p>
      <w:pPr>
        <w:pStyle w:val="BodyText"/>
        <w:spacing w:line="208" w:lineRule="auto" w:before="97"/>
        <w:ind w:left="140" w:right="717"/>
        <w:jc w:val="both"/>
      </w:pPr>
      <w:r>
        <w:rPr>
          <w:w w:val="95"/>
        </w:rPr>
        <w:t>Durante 52 semanas, de etiqueta abierta bipolar I estudio trastorno en aquellos pacientes que iniciaron ABILIFY Mantenim, los cambios desde el inicio en colesterol en ayunas de normal a alta fueron reportados en 2,1% (colesterol total) y 2,2% (colesterol LDL) y los cambios de la línea de base de normal a bajo se informaron en 8,5% (colesterol HDL). De estos pacientes con triglicéridos normales de referencia, 3,6% cambios experimentados a alto, y 0.0% cambios experimentados a muy alta. Combinados, 1,0% de estos pacientes con triglicéridos normales o limítrofes de ayuno experimentó cambios a los triglicéridos muy altos de ayuno</w:t>
      </w:r>
      <w:r>
        <w:rPr/>
        <w:t>durante este juicio.</w:t>
      </w:r>
    </w:p>
    <w:p>
      <w:pPr>
        <w:pStyle w:val="Heading3"/>
        <w:spacing w:line="179" w:lineRule="exact" w:before="23"/>
      </w:pPr>
      <w:r>
        <w:rPr>
          <w:w w:val="95"/>
        </w:rPr>
        <w:t>Aumento de peso</w:t>
      </w:r>
    </w:p>
    <w:p>
      <w:pPr>
        <w:pStyle w:val="BodyText"/>
        <w:spacing w:line="208" w:lineRule="auto" w:before="15"/>
        <w:ind w:left="140" w:right="717"/>
        <w:jc w:val="both"/>
      </w:pPr>
      <w:r>
        <w:rPr>
          <w:w w:val="90"/>
        </w:rPr>
        <w:t>El aumento de peso se ha observado con el uso de antipsicóticos atípicos. seguimiento clínico de</w:t>
      </w:r>
      <w:r>
        <w:rPr/>
        <w:t>Se recomienda peso.</w:t>
      </w:r>
    </w:p>
    <w:p>
      <w:pPr>
        <w:pStyle w:val="BodyText"/>
        <w:spacing w:line="208" w:lineRule="auto" w:before="29"/>
        <w:ind w:left="140" w:right="718"/>
        <w:jc w:val="both"/>
      </w:pPr>
      <w:r>
        <w:rPr>
          <w:w w:val="95"/>
        </w:rPr>
        <w:t>En un corto plazo, ensayo controlado con placebo en pacientes adultos con esquizofrenia con ABILIFY Mantenim, el cambio medio en el peso corporal en la semana 12 fue +3,5 kg (N = 99) en los pacientes tratados con Mantenim ABILIFY y +0,8 kg (N = 66) en el tratado con placebo </w:t>
      </w:r>
      <w:r>
        <w:rPr/>
        <w:t>pacientes.</w:t>
      </w:r>
    </w:p>
    <w:p>
      <w:pPr>
        <w:pStyle w:val="BodyText"/>
        <w:spacing w:line="172" w:lineRule="exact" w:before="9"/>
        <w:ind w:left="140"/>
      </w:pPr>
      <w:r>
        <w:rPr>
          <w:spacing w:val="-4"/>
          <w:w w:val="95"/>
        </w:rPr>
        <w:t>Mesa </w:t>
      </w:r>
      <w:r>
        <w:rPr>
          <w:w w:val="95"/>
        </w:rPr>
        <w:t>6 muestra el porcentaje de pacientes adultos con esquizofrenia con el aumento de peso</w:t>
      </w:r>
    </w:p>
    <w:p>
      <w:pPr>
        <w:pStyle w:val="BodyText"/>
        <w:spacing w:line="172" w:lineRule="exact"/>
        <w:ind w:left="140"/>
      </w:pPr>
      <w:r>
        <w:rPr>
          <w:w w:val="90"/>
        </w:rPr>
        <w:t>≥7% del peso corporal en un corto plazo, ensayo controlado con placebo con ABILIFY Mantenim.</w:t>
      </w:r>
    </w:p>
    <w:p>
      <w:pPr>
        <w:pStyle w:val="Heading3"/>
        <w:spacing w:line="235" w:lineRule="auto" w:before="52"/>
        <w:ind w:left="800" w:right="708" w:hanging="660"/>
      </w:pPr>
      <w:r>
        <w:rPr>
          <w:spacing w:val="-3"/>
          <w:w w:val="95"/>
        </w:rPr>
        <w:t>Mesa </w:t>
      </w:r>
      <w:r>
        <w:rPr>
          <w:w w:val="95"/>
        </w:rPr>
        <w:t>6: Porcentaje de pacientes de un ensayo controlado con placebo de 12 semanas en pacientes adultos con esquizofrenia con el aumento de peso ≥7% del peso corporal</w:t>
      </w:r>
    </w:p>
    <w:p>
      <w:pPr>
        <w:pStyle w:val="BodyText"/>
        <w:spacing w:before="6"/>
        <w:rPr>
          <w:b/>
          <w:sz w:val="4"/>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0"/>
        <w:gridCol w:w="1577"/>
        <w:gridCol w:w="778"/>
        <w:gridCol w:w="1397"/>
      </w:tblGrid>
      <w:tr>
        <w:trPr>
          <w:trHeight w:val="305" w:hRule="atLeast"/>
        </w:trPr>
        <w:tc>
          <w:tcPr>
            <w:tcW w:w="1530" w:type="dxa"/>
            <w:vMerge w:val="restart"/>
            <w:tcBorders>
              <w:left w:val="nil"/>
            </w:tcBorders>
          </w:tcPr>
          <w:p>
            <w:pPr>
              <w:pStyle w:val="TableParagraph"/>
              <w:rPr>
                <w:b/>
                <w:sz w:val="20"/>
              </w:rPr>
            </w:pPr>
          </w:p>
          <w:p>
            <w:pPr>
              <w:pStyle w:val="TableParagraph"/>
              <w:spacing w:line="208" w:lineRule="auto" w:before="143"/>
              <w:ind w:left="376" w:hanging="249"/>
              <w:rPr>
                <w:b/>
                <w:sz w:val="16"/>
              </w:rPr>
            </w:pPr>
            <w:r>
              <w:rPr>
                <w:b/>
                <w:w w:val="90"/>
                <w:sz w:val="16"/>
              </w:rPr>
              <w:t>El aumento de peso ≥7% del peso corporal</w:t>
            </w:r>
          </w:p>
        </w:tc>
        <w:tc>
          <w:tcPr>
            <w:tcW w:w="1577" w:type="dxa"/>
          </w:tcPr>
          <w:p>
            <w:pPr>
              <w:pStyle w:val="TableParagraph"/>
              <w:spacing w:before="60"/>
              <w:ind w:left="107" w:right="98"/>
              <w:jc w:val="center"/>
              <w:rPr>
                <w:b/>
                <w:sz w:val="16"/>
              </w:rPr>
            </w:pPr>
            <w:r>
              <w:rPr>
                <w:b/>
                <w:w w:val="95"/>
                <w:sz w:val="16"/>
              </w:rPr>
              <w:t>Grupo de tratamiento</w:t>
            </w:r>
          </w:p>
        </w:tc>
        <w:tc>
          <w:tcPr>
            <w:tcW w:w="778" w:type="dxa"/>
          </w:tcPr>
          <w:p>
            <w:pPr>
              <w:pStyle w:val="TableParagraph"/>
              <w:spacing w:before="56"/>
              <w:ind w:left="316"/>
              <w:rPr>
                <w:b/>
                <w:sz w:val="9"/>
              </w:rPr>
            </w:pPr>
            <w:r>
              <w:rPr>
                <w:b/>
                <w:position w:val="-4"/>
                <w:sz w:val="16"/>
              </w:rPr>
              <w:t>norte</w:t>
            </w:r>
            <w:r>
              <w:rPr>
                <w:b/>
                <w:sz w:val="9"/>
              </w:rPr>
              <w:t>una</w:t>
            </w:r>
          </w:p>
        </w:tc>
        <w:tc>
          <w:tcPr>
            <w:tcW w:w="1397" w:type="dxa"/>
            <w:tcBorders>
              <w:right w:val="nil"/>
            </w:tcBorders>
          </w:tcPr>
          <w:p>
            <w:pPr>
              <w:pStyle w:val="TableParagraph"/>
              <w:spacing w:before="60"/>
              <w:ind w:left="175" w:right="172"/>
              <w:jc w:val="center"/>
              <w:rPr>
                <w:b/>
                <w:sz w:val="16"/>
              </w:rPr>
            </w:pPr>
            <w:r>
              <w:rPr>
                <w:b/>
                <w:w w:val="95"/>
                <w:sz w:val="16"/>
              </w:rPr>
              <w:t>Los pacientes n (%)</w:t>
            </w:r>
          </w:p>
        </w:tc>
      </w:tr>
      <w:tr>
        <w:trPr>
          <w:trHeight w:val="255" w:hRule="atLeast"/>
        </w:trPr>
        <w:tc>
          <w:tcPr>
            <w:tcW w:w="1530" w:type="dxa"/>
            <w:vMerge/>
            <w:tcBorders>
              <w:top w:val="nil"/>
              <w:left w:val="nil"/>
            </w:tcBorders>
          </w:tcPr>
          <w:p>
            <w:pPr>
              <w:rPr>
                <w:sz w:val="2"/>
                <w:szCs w:val="2"/>
              </w:rPr>
            </w:pPr>
          </w:p>
        </w:tc>
        <w:tc>
          <w:tcPr>
            <w:tcW w:w="1577" w:type="dxa"/>
          </w:tcPr>
          <w:p>
            <w:pPr>
              <w:pStyle w:val="TableParagraph"/>
              <w:spacing w:before="32"/>
              <w:ind w:left="107" w:right="98"/>
              <w:jc w:val="center"/>
              <w:rPr>
                <w:sz w:val="16"/>
              </w:rPr>
            </w:pPr>
            <w:r>
              <w:rPr>
                <w:w w:val="90"/>
                <w:sz w:val="16"/>
              </w:rPr>
              <w:t>ABILIFY Mantenim</w:t>
            </w:r>
          </w:p>
        </w:tc>
        <w:tc>
          <w:tcPr>
            <w:tcW w:w="778" w:type="dxa"/>
          </w:tcPr>
          <w:p>
            <w:pPr>
              <w:pStyle w:val="TableParagraph"/>
              <w:spacing w:before="32"/>
              <w:ind w:left="268"/>
              <w:rPr>
                <w:sz w:val="16"/>
              </w:rPr>
            </w:pPr>
            <w:r>
              <w:rPr>
                <w:sz w:val="16"/>
              </w:rPr>
              <w:t>144</w:t>
            </w:r>
          </w:p>
        </w:tc>
        <w:tc>
          <w:tcPr>
            <w:tcW w:w="1397" w:type="dxa"/>
            <w:tcBorders>
              <w:right w:val="nil"/>
            </w:tcBorders>
          </w:tcPr>
          <w:p>
            <w:pPr>
              <w:pStyle w:val="TableParagraph"/>
              <w:spacing w:before="32"/>
              <w:ind w:left="175" w:right="172"/>
              <w:jc w:val="center"/>
              <w:rPr>
                <w:sz w:val="16"/>
              </w:rPr>
            </w:pPr>
            <w:r>
              <w:rPr>
                <w:sz w:val="16"/>
              </w:rPr>
              <w:t>31 (21.5)</w:t>
            </w:r>
          </w:p>
        </w:tc>
      </w:tr>
      <w:tr>
        <w:trPr>
          <w:trHeight w:val="162" w:hRule="atLeast"/>
        </w:trPr>
        <w:tc>
          <w:tcPr>
            <w:tcW w:w="1530" w:type="dxa"/>
            <w:vMerge/>
            <w:tcBorders>
              <w:top w:val="nil"/>
              <w:left w:val="nil"/>
            </w:tcBorders>
          </w:tcPr>
          <w:p>
            <w:pPr>
              <w:rPr>
                <w:sz w:val="2"/>
                <w:szCs w:val="2"/>
              </w:rPr>
            </w:pPr>
          </w:p>
        </w:tc>
        <w:tc>
          <w:tcPr>
            <w:tcW w:w="1577" w:type="dxa"/>
          </w:tcPr>
          <w:p>
            <w:pPr>
              <w:pStyle w:val="TableParagraph"/>
              <w:spacing w:line="142" w:lineRule="exact"/>
              <w:ind w:left="107" w:right="98"/>
              <w:jc w:val="center"/>
              <w:rPr>
                <w:sz w:val="16"/>
              </w:rPr>
            </w:pPr>
            <w:r>
              <w:rPr>
                <w:w w:val="95"/>
                <w:sz w:val="16"/>
              </w:rPr>
              <w:t>Placebo</w:t>
            </w:r>
          </w:p>
        </w:tc>
        <w:tc>
          <w:tcPr>
            <w:tcW w:w="778" w:type="dxa"/>
          </w:tcPr>
          <w:p>
            <w:pPr>
              <w:pStyle w:val="TableParagraph"/>
              <w:spacing w:line="142" w:lineRule="exact"/>
              <w:ind w:left="268"/>
              <w:rPr>
                <w:sz w:val="16"/>
              </w:rPr>
            </w:pPr>
            <w:r>
              <w:rPr>
                <w:sz w:val="16"/>
              </w:rPr>
              <w:t>141</w:t>
            </w:r>
          </w:p>
        </w:tc>
        <w:tc>
          <w:tcPr>
            <w:tcW w:w="1397" w:type="dxa"/>
            <w:tcBorders>
              <w:right w:val="nil"/>
            </w:tcBorders>
          </w:tcPr>
          <w:p>
            <w:pPr>
              <w:pStyle w:val="TableParagraph"/>
              <w:spacing w:line="142" w:lineRule="exact"/>
              <w:ind w:left="175" w:right="172"/>
              <w:jc w:val="center"/>
              <w:rPr>
                <w:sz w:val="16"/>
              </w:rPr>
            </w:pPr>
            <w:r>
              <w:rPr>
                <w:sz w:val="16"/>
              </w:rPr>
              <w:t>12 (8.5)</w:t>
            </w:r>
          </w:p>
        </w:tc>
      </w:tr>
    </w:tbl>
    <w:p>
      <w:pPr>
        <w:pStyle w:val="BodyText"/>
        <w:spacing w:line="216" w:lineRule="auto" w:before="16"/>
        <w:ind w:left="260" w:right="708" w:hanging="121"/>
      </w:pPr>
      <w:r>
        <w:rPr>
          <w:w w:val="95"/>
          <w:position w:val="7"/>
          <w:sz w:val="10"/>
        </w:rPr>
        <w:t>una </w:t>
      </w:r>
      <w:r>
        <w:rPr>
          <w:w w:val="95"/>
        </w:rPr>
        <w:t>N = el número total de sujetos que tenían una medición al inicio del estudio y al menos </w:t>
      </w:r>
      <w:r>
        <w:rPr/>
        <w:t>Uno de los resultados post-línea de base.</w:t>
      </w:r>
    </w:p>
    <w:p>
      <w:pPr>
        <w:pStyle w:val="BodyText"/>
        <w:spacing w:line="208" w:lineRule="auto" w:before="71"/>
        <w:ind w:left="140" w:right="717"/>
        <w:jc w:val="both"/>
      </w:pPr>
      <w:r>
        <w:rPr>
          <w:w w:val="95"/>
        </w:rPr>
        <w:t>Durante 52 semanas, de etiqueta abierta bipolar I estudio desorden en aquellos pacientes que iniciaron ABILIFY Mantenim, 1,8% interrumpió el tratamiento ABILIFY Mantenim debido al aumento de peso. ABILIFY Mantenim se asoció con incremento medio desde el inicio en peso de 1,0 kg en la semana 52. En este ensayo, 21,4% de estos pacientes demostró aumento ≥7% en el peso corporal y 15,4% demostró una disminución ≥7% en el peso corporal.</w:t>
      </w:r>
    </w:p>
    <w:p>
      <w:pPr>
        <w:pStyle w:val="Heading3"/>
        <w:numPr>
          <w:ilvl w:val="1"/>
          <w:numId w:val="11"/>
        </w:numPr>
        <w:tabs>
          <w:tab w:pos="559" w:val="left" w:leader="none"/>
          <w:tab w:pos="561" w:val="left" w:leader="none"/>
        </w:tabs>
        <w:spacing w:line="179" w:lineRule="exact" w:before="23" w:after="0"/>
        <w:ind w:left="560" w:right="0" w:hanging="420"/>
        <w:jc w:val="left"/>
      </w:pPr>
      <w:r>
        <w:rPr>
          <w:w w:val="95"/>
        </w:rPr>
        <w:t>El juego patológico y otras conductas compulsivas</w:t>
      </w:r>
    </w:p>
    <w:p>
      <w:pPr>
        <w:pStyle w:val="BodyText"/>
        <w:spacing w:line="208" w:lineRule="auto" w:before="15"/>
        <w:ind w:left="140" w:right="717"/>
        <w:jc w:val="both"/>
      </w:pPr>
      <w:r>
        <w:rPr>
          <w:w w:val="95"/>
        </w:rPr>
        <w:t>informes de casos posteriores a la comercialización sugieren que los pacientes pueden experimentar impulsos intensos, </w:t>
      </w:r>
      <w:r>
        <w:rPr/>
        <w:t>particularmente para los juegos de azar, y la incapacidad de controlar estos impulsos mientras toma aripiprazol. Otros impulsos compulsivos, reportados con menor frecuencia, incluyen: los impulsos sexuales, compras, comer o comer de forma compulsiva y otros comportamientos impulsivos o compulsivos. Dado que los pacientes pueden no reconocer estos comportamientos como anormal, es importante que los prescriptores pedir a los pacientes o sus cuidadores específicamente sobre el desarrollo de la insta a los juegos de azar nuevo o intensa, impulsos sexuales compulsivos, compra compulsiva, atracones o comer compulsivo, u otros impulsos mientras estaba siendo tratado con aripiprazol. Cabe señalar que los síntomas del control de impulsos pueden estar asociados con el trastorno subyacente. En algunos casos, aunque no todos, se informó de impulsos haberse detenido cuando la dosis se reduce o se interrumpe la medicación. Compulsivo</w:t>
      </w:r>
    </w:p>
    <w:p>
      <w:pPr>
        <w:spacing w:after="0" w:line="208" w:lineRule="auto"/>
        <w:jc w:val="both"/>
        <w:sectPr>
          <w:pgSz w:w="12240" w:h="15840"/>
          <w:pgMar w:header="676" w:footer="367" w:top="860" w:bottom="640" w:left="580" w:right="0"/>
          <w:cols w:num="2" w:equalWidth="0">
            <w:col w:w="5461" w:space="59"/>
            <w:col w:w="6140"/>
          </w:cols>
        </w:sectPr>
      </w:pPr>
    </w:p>
    <w:p>
      <w:pPr>
        <w:pStyle w:val="BodyText"/>
        <w:spacing w:before="9"/>
        <w:rPr>
          <w:sz w:val="15"/>
        </w:rPr>
      </w:pPr>
    </w:p>
    <w:p>
      <w:pPr>
        <w:pStyle w:val="BodyText"/>
        <w:spacing w:line="216" w:lineRule="auto"/>
        <w:ind w:left="140" w:right="26"/>
      </w:pPr>
      <w:r>
        <w:rPr>
          <w:w w:val="95"/>
        </w:rPr>
        <w:t>comportamientos pueden resultar en un daño para el paciente y los demás si no se reconoce. Considerar</w:t>
      </w:r>
      <w:r>
        <w:rPr/>
        <w:t>reducción de la dosis o la suspensión del medicamento si un paciente desarrolla tales impulsos.</w:t>
      </w:r>
    </w:p>
    <w:p>
      <w:pPr>
        <w:pStyle w:val="Heading3"/>
        <w:numPr>
          <w:ilvl w:val="1"/>
          <w:numId w:val="11"/>
        </w:numPr>
        <w:tabs>
          <w:tab w:pos="560" w:val="left" w:leader="none"/>
        </w:tabs>
        <w:spacing w:line="182" w:lineRule="exact" w:before="27" w:after="0"/>
        <w:ind w:left="560" w:right="0" w:hanging="420"/>
        <w:jc w:val="both"/>
      </w:pPr>
      <w:r>
        <w:rPr>
          <w:w w:val="95"/>
        </w:rPr>
        <w:t>Hipotensión ortostática</w:t>
      </w:r>
    </w:p>
    <w:p>
      <w:pPr>
        <w:pStyle w:val="BodyText"/>
        <w:spacing w:line="167" w:lineRule="exact"/>
        <w:ind w:left="140"/>
        <w:jc w:val="both"/>
      </w:pPr>
      <w:r>
        <w:rPr/>
        <w:t>ABILIFY Mantenim puede causar hipotensión ortostática, quizás debido a su</w:t>
      </w:r>
    </w:p>
    <w:p>
      <w:pPr>
        <w:pStyle w:val="BodyText"/>
        <w:spacing w:line="213" w:lineRule="auto" w:before="1"/>
        <w:ind w:left="139" w:right="38"/>
        <w:jc w:val="both"/>
      </w:pPr>
      <w:r>
        <w:rPr>
          <w:rFonts w:ascii="Symbol" w:hAnsi="Symbol"/>
          <w:w w:val="95"/>
        </w:rPr>
        <w:t>antagonismo del receptor 1-adrenérgicos. A corto plazo, ensayo controlado con placebo en adultos con esquizofrenia, se informó el evento adverso de presíncope en 1/167 (0,6%) de los pacientes tratados con ABILIFY Mantenim, mientras síncope e hipotensión ortostática se notificó en 1/172 ( 0,6%) de los pacientes tratados con placebo. Durante la fase de estabilización del estudio aleatorizado-retirada (mantenimiento) en pacientes adultos con esquizofrenia, se informó de acontecimientos adversos relacionados con ortostasis-en 4/576 (0,7%) de los pacientes tratados con ABILIFY Mantenim, incluyendo anormal</w:t>
      </w:r>
      <w:r>
        <w:rPr/>
        <w:t>presión ortostática sangre (1/576, 0.2%), mareo postural (1/576, 0.2%), presíncope (1/576, 0.2%) y la hipotensión ortostática (1/576, 0.2%).</w:t>
      </w:r>
    </w:p>
    <w:p>
      <w:pPr>
        <w:pStyle w:val="BodyText"/>
        <w:spacing w:line="216" w:lineRule="auto" w:before="39"/>
        <w:ind w:left="139" w:right="38"/>
        <w:jc w:val="both"/>
      </w:pPr>
      <w:r>
        <w:rPr>
          <w:w w:val="95"/>
        </w:rPr>
        <w:t>En el ensayo controlado con placebo a corto plazo en adultos con esquizofrenia, no hubo pacientes en cualquier grupo de tratamiento con un cambio ortostática significativa de la presión arterial (definida como una disminución de la presión arterial sistólica ≥ 20 mmHg acompañada de un aumento en la frecuencia cardíaca ≥ 25 bpm al comparar de pie a los valores en posición supina). Durante la fase de estabilización del estudio aleatorizado de retirada (mantenimiento) en pacientes adultos con esquizofrenia, la incidencia del cambio significativo en ortostática</w:t>
      </w:r>
      <w:r>
        <w:rPr/>
        <w:t>la presión arterial fue de 0,2% (1/575).</w:t>
      </w:r>
    </w:p>
    <w:p>
      <w:pPr>
        <w:pStyle w:val="Heading3"/>
        <w:numPr>
          <w:ilvl w:val="1"/>
          <w:numId w:val="11"/>
        </w:numPr>
        <w:tabs>
          <w:tab w:pos="560" w:val="left" w:leader="none"/>
        </w:tabs>
        <w:spacing w:line="182" w:lineRule="exact" w:before="24" w:after="0"/>
        <w:ind w:left="559" w:right="0" w:hanging="420"/>
        <w:jc w:val="both"/>
      </w:pPr>
      <w:r>
        <w:rPr/>
        <w:t>Caídas</w:t>
      </w:r>
    </w:p>
    <w:p>
      <w:pPr>
        <w:pStyle w:val="BodyText"/>
        <w:spacing w:line="216" w:lineRule="auto" w:before="13"/>
        <w:ind w:left="139" w:right="39"/>
        <w:jc w:val="both"/>
      </w:pPr>
      <w:r>
        <w:rPr>
          <w:w w:val="90"/>
        </w:rPr>
        <w:t>Los antipsicóticos, incluyendo ABILIFY Mantenim, pueden causar somnolencia, hipotensión postural, el motor y la inestabilidad sensorial, que puede conducir a caídas y, en consecuencia, fracturas u otras lesiones. Para los pacientes con enfermedades, condiciones o medicamentos que podrían exacerbar estos efectos, evaluaciones completas de riesgo caída al iniciar el tratamiento antipsicótico y de forma recurrente para los pacientes en tratamiento con antipsicóticos a largo plazo.</w:t>
      </w:r>
    </w:p>
    <w:p>
      <w:pPr>
        <w:pStyle w:val="Heading3"/>
        <w:numPr>
          <w:ilvl w:val="1"/>
          <w:numId w:val="11"/>
        </w:numPr>
        <w:tabs>
          <w:tab w:pos="560" w:val="left" w:leader="none"/>
        </w:tabs>
        <w:spacing w:line="182" w:lineRule="exact" w:before="25" w:after="0"/>
        <w:ind w:left="559" w:right="0" w:hanging="420"/>
        <w:jc w:val="both"/>
      </w:pPr>
      <w:r>
        <w:rPr>
          <w:w w:val="95"/>
        </w:rPr>
        <w:t>Leucopenia, neutropenia, agranulocitosis y</w:t>
      </w:r>
    </w:p>
    <w:p>
      <w:pPr>
        <w:pStyle w:val="BodyText"/>
        <w:spacing w:line="216" w:lineRule="auto" w:before="13"/>
        <w:ind w:left="140" w:right="39" w:hanging="1"/>
        <w:jc w:val="both"/>
        <w:rPr>
          <w:i/>
        </w:rPr>
      </w:pPr>
      <w:r>
        <w:rPr>
          <w:w w:val="95"/>
        </w:rPr>
        <w:t>En los ensayos clínicos y la experiencia post-comercialización, leucopenia y neutropenia tener </w:t>
      </w:r>
      <w:r>
        <w:rPr/>
        <w:t>ha informado temporalmente relacionado a los agentes antipsicóticos, incluyendo ABILIFY Mantenim. Agranulocitosis También se ha informado [ver Reacciones adversas (6.1)].</w:t>
      </w:r>
    </w:p>
    <w:p>
      <w:pPr>
        <w:pStyle w:val="BodyText"/>
        <w:spacing w:line="216" w:lineRule="auto" w:before="27"/>
        <w:ind w:left="140" w:right="38"/>
        <w:jc w:val="both"/>
      </w:pPr>
      <w:r>
        <w:rPr>
          <w:w w:val="90"/>
        </w:rPr>
        <w:t>Los posibles factores de riesgo de leucopenia / neutropenia incluyen preexistente recuento bajo de glóbulos blancos (WBC) / recuento absoluto de neutrófilos (ANC) y una historia de inducida por fármacos </w:t>
      </w:r>
      <w:r>
        <w:rPr/>
        <w:t>leucopenia / neutropenia. En pacientes con una historia de una clínicamente significativa bajo WBC / ANC o leucopenia / neutropenia inducida por fármacos, realizar un recuento sanguíneo completo (CBC) con frecuencia durante los primeros meses de terapia. En tales pacientes, considere la suspensión de aripiprazol Mantenim a la primera señal de un deterioro clínicamente significativo de la CMB en ausencia de otros factores causales.</w:t>
      </w:r>
    </w:p>
    <w:p>
      <w:pPr>
        <w:pStyle w:val="BodyText"/>
        <w:spacing w:line="216" w:lineRule="auto" w:before="24"/>
        <w:ind w:left="140" w:right="38"/>
        <w:jc w:val="both"/>
      </w:pPr>
      <w:r>
        <w:rPr>
          <w:w w:val="95"/>
        </w:rPr>
        <w:t>Controlar a los pacientes con neutropenia clínicamente significativa para la fiebre u otros síntomas o signos de infección y el tratamiento de inmediato si se presentan tales síntomas o signos. Descontinuar ABILIFY Mantenim en pacientes con neutropenia grave (recuento absoluto de neutrófilos</w:t>
      </w:r>
    </w:p>
    <w:p>
      <w:pPr>
        <w:pStyle w:val="BodyText"/>
        <w:spacing w:line="169" w:lineRule="exact"/>
        <w:ind w:left="140"/>
        <w:jc w:val="both"/>
      </w:pPr>
      <w:r>
        <w:rPr/>
        <w:t>&lt;1000 / mm3) y seguir sus recuentos de WBC hasta la recuperación.</w:t>
      </w:r>
    </w:p>
    <w:p>
      <w:pPr>
        <w:pStyle w:val="Heading3"/>
        <w:numPr>
          <w:ilvl w:val="1"/>
          <w:numId w:val="11"/>
        </w:numPr>
        <w:tabs>
          <w:tab w:pos="560" w:val="left" w:leader="none"/>
        </w:tabs>
        <w:spacing w:line="182" w:lineRule="exact" w:before="24" w:after="0"/>
        <w:ind w:left="559" w:right="0" w:hanging="420"/>
        <w:jc w:val="both"/>
      </w:pPr>
      <w:r>
        <w:rPr>
          <w:w w:val="95"/>
        </w:rPr>
        <w:t>convulsiones</w:t>
      </w:r>
    </w:p>
    <w:p>
      <w:pPr>
        <w:pStyle w:val="BodyText"/>
        <w:spacing w:line="216" w:lineRule="auto" w:before="13"/>
        <w:ind w:left="139" w:right="38"/>
        <w:jc w:val="both"/>
      </w:pPr>
      <w:r>
        <w:rPr>
          <w:w w:val="95"/>
        </w:rPr>
        <w:t>Al igual que con otros fármacos antipsicóticos, utilice ABILIFY Mantenim con precaución en pacientes </w:t>
      </w:r>
      <w:r>
        <w:rPr/>
        <w:t>con antecedentes de convulsiones o con condiciones que disminuyen el umbral convulsivo. Las condiciones que disminuyen el umbral de convulsiones pueden ser más prevalente en una población de 65 años o más.</w:t>
      </w:r>
    </w:p>
    <w:p>
      <w:pPr>
        <w:pStyle w:val="Heading3"/>
        <w:numPr>
          <w:ilvl w:val="1"/>
          <w:numId w:val="11"/>
        </w:numPr>
        <w:tabs>
          <w:tab w:pos="560" w:val="left" w:leader="none"/>
        </w:tabs>
        <w:spacing w:line="182" w:lineRule="exact" w:before="26" w:after="0"/>
        <w:ind w:left="559" w:right="0" w:hanging="420"/>
        <w:jc w:val="both"/>
      </w:pPr>
      <w:r>
        <w:rPr>
          <w:w w:val="95"/>
        </w:rPr>
        <w:t>Potencial para cognitiva y deterioro motor</w:t>
      </w:r>
    </w:p>
    <w:p>
      <w:pPr>
        <w:pStyle w:val="BodyText"/>
        <w:spacing w:line="216" w:lineRule="auto" w:before="12"/>
        <w:ind w:left="139" w:right="39"/>
        <w:jc w:val="both"/>
      </w:pPr>
      <w:r>
        <w:rPr>
          <w:w w:val="95"/>
        </w:rPr>
        <w:t>ABILIFY Mantenim, al igual que otros antipsicóticos, puede afectar las habilidades de juicio, pensamiento o motoras. Instruir a los pacientes para evitar manejar maquinaria peligrosa, incluyendo automóviles, hasta que tengan la certeza de que el tratamiento con aripiprazol Mantenim</w:t>
      </w:r>
      <w:r>
        <w:rPr/>
        <w:t>no les afecta negativamente.</w:t>
      </w:r>
    </w:p>
    <w:p>
      <w:pPr>
        <w:pStyle w:val="Heading3"/>
        <w:numPr>
          <w:ilvl w:val="1"/>
          <w:numId w:val="11"/>
        </w:numPr>
        <w:tabs>
          <w:tab w:pos="560" w:val="left" w:leader="none"/>
        </w:tabs>
        <w:spacing w:line="182" w:lineRule="exact" w:before="26" w:after="0"/>
        <w:ind w:left="559" w:right="0" w:hanging="420"/>
        <w:jc w:val="both"/>
      </w:pPr>
      <w:r>
        <w:rPr>
          <w:w w:val="95"/>
        </w:rPr>
        <w:t>Cuerpo Regulación de la Temperatura</w:t>
      </w:r>
    </w:p>
    <w:p>
      <w:pPr>
        <w:pStyle w:val="BodyText"/>
        <w:spacing w:line="216" w:lineRule="auto" w:before="13"/>
        <w:ind w:left="139" w:right="38"/>
        <w:jc w:val="both"/>
      </w:pPr>
      <w:r>
        <w:rPr/>
        <w:t>La alteración de la capacidad del cuerpo para reducir la temperatura corporal central se ha atribuido a los agentes antipsicóticos. Se aconseja precaución cuando se prescribe ABILIFY Mantenim para los pacientes que experimentan condiciones que pueden contribuir a una elevación de la temperatura corporal (por ejemplo, ejercicio vigoroso, la exposición a calor extremo, recibiendo medicación concomitante con actividad anticolinérgica, o estar sujeto a la deshidratación) .</w:t>
      </w:r>
    </w:p>
    <w:p>
      <w:pPr>
        <w:pStyle w:val="Heading3"/>
        <w:numPr>
          <w:ilvl w:val="1"/>
          <w:numId w:val="11"/>
        </w:numPr>
        <w:tabs>
          <w:tab w:pos="560" w:val="left" w:leader="none"/>
        </w:tabs>
        <w:spacing w:line="182" w:lineRule="exact" w:before="24" w:after="0"/>
        <w:ind w:left="559" w:right="0" w:hanging="420"/>
        <w:jc w:val="both"/>
      </w:pPr>
      <w:r>
        <w:rPr>
          <w:w w:val="95"/>
        </w:rPr>
        <w:t>La disfagia</w:t>
      </w:r>
    </w:p>
    <w:p>
      <w:pPr>
        <w:pStyle w:val="BodyText"/>
        <w:spacing w:line="216" w:lineRule="auto" w:before="13"/>
        <w:ind w:left="139" w:right="39"/>
        <w:jc w:val="both"/>
      </w:pPr>
      <w:r>
        <w:rPr>
          <w:w w:val="90"/>
        </w:rPr>
        <w:t>dismotilidad esofágica y aspiración han sido asociadas con el uso de antipsicóticos incluyendo ABILIFY Mantenim. ABILIFY Mantenim y otros fármacos antipsicóticos deben utilizarse con precaución en pacientes con riesgo de neumonía por aspiración [ver</w:t>
      </w:r>
      <w:r>
        <w:rPr>
          <w:i/>
        </w:rPr>
        <w:t>Advertencias y precauciones (5.1)]</w:t>
      </w:r>
      <w:r>
        <w:rPr/>
        <w:t>.</w:t>
      </w:r>
    </w:p>
    <w:p>
      <w:pPr>
        <w:pStyle w:val="Heading3"/>
        <w:numPr>
          <w:ilvl w:val="0"/>
          <w:numId w:val="11"/>
        </w:numPr>
        <w:tabs>
          <w:tab w:pos="560" w:val="left" w:leader="none"/>
        </w:tabs>
        <w:spacing w:line="182" w:lineRule="exact" w:before="54" w:after="0"/>
        <w:ind w:left="559" w:right="0" w:hanging="420"/>
        <w:jc w:val="both"/>
      </w:pPr>
      <w:r>
        <w:rPr>
          <w:w w:val="90"/>
        </w:rPr>
        <w:t>REACCIONES ADVERSAS</w:t>
      </w:r>
    </w:p>
    <w:p>
      <w:pPr>
        <w:pStyle w:val="BodyText"/>
        <w:spacing w:line="216" w:lineRule="auto" w:before="13"/>
        <w:ind w:left="139" w:right="30"/>
      </w:pPr>
      <w:r>
        <w:rPr>
          <w:w w:val="95"/>
        </w:rPr>
        <w:t>Las siguientes reacciones adversas se discuten en más detalle en otras secciones de </w:t>
      </w:r>
      <w:r>
        <w:rPr/>
        <w:t>el etiquetado:</w:t>
      </w:r>
    </w:p>
    <w:p>
      <w:pPr>
        <w:pStyle w:val="ListParagraph"/>
        <w:numPr>
          <w:ilvl w:val="0"/>
          <w:numId w:val="2"/>
        </w:numPr>
        <w:tabs>
          <w:tab w:pos="320" w:val="left" w:leader="none"/>
        </w:tabs>
        <w:spacing w:line="173" w:lineRule="exact" w:before="0" w:after="0"/>
        <w:ind w:left="319" w:right="0" w:hanging="180"/>
        <w:jc w:val="both"/>
        <w:rPr>
          <w:sz w:val="16"/>
        </w:rPr>
      </w:pPr>
      <w:r>
        <w:rPr>
          <w:w w:val="95"/>
          <w:sz w:val="16"/>
        </w:rPr>
        <w:t>El aumento de mortalidad en pacientes ancianos con demencia - relacionada con la psicosis Uso</w:t>
      </w:r>
    </w:p>
    <w:p>
      <w:pPr>
        <w:spacing w:line="172" w:lineRule="exact" w:before="0"/>
        <w:ind w:left="319" w:right="0" w:firstLine="0"/>
        <w:jc w:val="left"/>
        <w:rPr>
          <w:i/>
          <w:sz w:val="16"/>
        </w:rPr>
      </w:pPr>
      <w:r>
        <w:rPr>
          <w:i/>
          <w:sz w:val="16"/>
        </w:rPr>
        <w:t>[Véase el recuadro de advertencia </w:t>
      </w:r>
      <w:r>
        <w:rPr>
          <w:sz w:val="16"/>
        </w:rPr>
        <w:t>y Advertencias y precauciones (5.1)]</w:t>
      </w:r>
    </w:p>
    <w:p>
      <w:pPr>
        <w:pStyle w:val="ListParagraph"/>
        <w:numPr>
          <w:ilvl w:val="0"/>
          <w:numId w:val="2"/>
        </w:numPr>
        <w:tabs>
          <w:tab w:pos="320" w:val="left" w:leader="none"/>
        </w:tabs>
        <w:spacing w:line="216" w:lineRule="auto" w:before="13" w:after="0"/>
        <w:ind w:left="319" w:right="38" w:hanging="180"/>
        <w:jc w:val="both"/>
        <w:rPr>
          <w:i/>
          <w:sz w:val="16"/>
        </w:rPr>
      </w:pPr>
      <w:r>
        <w:rPr>
          <w:w w:val="95"/>
          <w:sz w:val="16"/>
        </w:rPr>
        <w:t>Las reacciones adversas cerebrovasculares, incluido el accidente cerebrovascular en pacientes ancianos con psicosis relacionada con demencia [ver en caja Advertencia y Advertencias y precauciones </w:t>
      </w:r>
      <w:r>
        <w:rPr>
          <w:i/>
          <w:sz w:val="16"/>
        </w:rPr>
        <w:t>(5.2)]</w:t>
      </w:r>
    </w:p>
    <w:p>
      <w:pPr>
        <w:pStyle w:val="ListParagraph"/>
        <w:numPr>
          <w:ilvl w:val="0"/>
          <w:numId w:val="2"/>
        </w:numPr>
        <w:tabs>
          <w:tab w:pos="320" w:val="left" w:leader="none"/>
        </w:tabs>
        <w:spacing w:line="179" w:lineRule="exact" w:before="0" w:after="0"/>
        <w:ind w:left="319" w:right="0" w:hanging="180"/>
        <w:jc w:val="both"/>
        <w:rPr>
          <w:i/>
          <w:sz w:val="16"/>
        </w:rPr>
      </w:pPr>
      <w:r>
        <w:rPr>
          <w:sz w:val="16"/>
        </w:rPr>
        <w:t>Síndrome neuroléptico maligno [ver Advertencias y precauciones (5.3)]</w:t>
      </w:r>
    </w:p>
    <w:p>
      <w:pPr>
        <w:pStyle w:val="ListParagraph"/>
        <w:numPr>
          <w:ilvl w:val="0"/>
          <w:numId w:val="2"/>
        </w:numPr>
        <w:tabs>
          <w:tab w:pos="320" w:val="left" w:leader="none"/>
        </w:tabs>
        <w:spacing w:line="179" w:lineRule="exact" w:before="0" w:after="0"/>
        <w:ind w:left="319" w:right="0" w:hanging="180"/>
        <w:jc w:val="both"/>
        <w:rPr>
          <w:i/>
          <w:sz w:val="16"/>
        </w:rPr>
      </w:pPr>
      <w:r>
        <w:rPr>
          <w:w w:val="90"/>
          <w:sz w:val="16"/>
        </w:rPr>
        <w:t>Discinesia tardía [ver Advertencias y precauciones (5.4)]</w:t>
      </w:r>
    </w:p>
    <w:p>
      <w:pPr>
        <w:pStyle w:val="ListParagraph"/>
        <w:numPr>
          <w:ilvl w:val="0"/>
          <w:numId w:val="2"/>
        </w:numPr>
        <w:tabs>
          <w:tab w:pos="320" w:val="left" w:leader="none"/>
        </w:tabs>
        <w:spacing w:line="179" w:lineRule="exact" w:before="0" w:after="0"/>
        <w:ind w:left="319" w:right="0" w:hanging="180"/>
        <w:jc w:val="both"/>
        <w:rPr>
          <w:i/>
          <w:sz w:val="16"/>
        </w:rPr>
      </w:pPr>
      <w:r>
        <w:rPr>
          <w:w w:val="90"/>
          <w:sz w:val="16"/>
        </w:rPr>
        <w:t>Los cambios metabólicos [véase Advertencias y precauciones (5.5)]</w:t>
      </w:r>
    </w:p>
    <w:p>
      <w:pPr>
        <w:pStyle w:val="ListParagraph"/>
        <w:numPr>
          <w:ilvl w:val="0"/>
          <w:numId w:val="2"/>
        </w:numPr>
        <w:tabs>
          <w:tab w:pos="320" w:val="left" w:leader="none"/>
        </w:tabs>
        <w:spacing w:line="216" w:lineRule="auto" w:before="12" w:after="0"/>
        <w:ind w:left="320" w:right="38" w:hanging="181"/>
        <w:jc w:val="left"/>
        <w:rPr>
          <w:i/>
          <w:sz w:val="16"/>
        </w:rPr>
      </w:pPr>
      <w:r>
        <w:rPr>
          <w:w w:val="95"/>
          <w:sz w:val="16"/>
        </w:rPr>
        <w:t>El juego patológico y otras conductas compulsivas [véase Advertencias y </w:t>
      </w:r>
      <w:r>
        <w:rPr>
          <w:i/>
          <w:sz w:val="16"/>
        </w:rPr>
        <w:t>Precauciones (5.6)]</w:t>
      </w:r>
    </w:p>
    <w:p>
      <w:pPr>
        <w:pStyle w:val="ListParagraph"/>
        <w:numPr>
          <w:ilvl w:val="0"/>
          <w:numId w:val="2"/>
        </w:numPr>
        <w:tabs>
          <w:tab w:pos="320" w:val="left" w:leader="none"/>
        </w:tabs>
        <w:spacing w:line="180" w:lineRule="exact" w:before="0" w:after="0"/>
        <w:ind w:left="319" w:right="0" w:hanging="179"/>
        <w:jc w:val="both"/>
        <w:rPr>
          <w:i/>
          <w:sz w:val="16"/>
        </w:rPr>
      </w:pPr>
      <w:r>
        <w:rPr>
          <w:sz w:val="16"/>
        </w:rPr>
        <w:t>La hipotensión ortostática [ver Advertencias y precauciones (5.7)]</w:t>
      </w:r>
    </w:p>
    <w:p>
      <w:pPr>
        <w:pStyle w:val="ListParagraph"/>
        <w:numPr>
          <w:ilvl w:val="0"/>
          <w:numId w:val="2"/>
        </w:numPr>
        <w:tabs>
          <w:tab w:pos="320" w:val="left" w:leader="none"/>
        </w:tabs>
        <w:spacing w:line="179" w:lineRule="exact" w:before="0" w:after="0"/>
        <w:ind w:left="319" w:right="0" w:hanging="180"/>
        <w:jc w:val="both"/>
        <w:rPr>
          <w:i/>
          <w:sz w:val="16"/>
        </w:rPr>
      </w:pPr>
      <w:r>
        <w:rPr>
          <w:sz w:val="16"/>
        </w:rPr>
        <w:t>Falls [ver Advertencias y precauciones (5.8)]</w:t>
      </w:r>
    </w:p>
    <w:p>
      <w:pPr>
        <w:pStyle w:val="ListParagraph"/>
        <w:numPr>
          <w:ilvl w:val="0"/>
          <w:numId w:val="2"/>
        </w:numPr>
        <w:tabs>
          <w:tab w:pos="320" w:val="left" w:leader="none"/>
        </w:tabs>
        <w:spacing w:line="179" w:lineRule="exact" w:before="0" w:after="0"/>
        <w:ind w:left="319" w:right="0" w:hanging="180"/>
        <w:jc w:val="both"/>
        <w:rPr>
          <w:i/>
          <w:sz w:val="16"/>
        </w:rPr>
      </w:pPr>
      <w:r>
        <w:rPr>
          <w:spacing w:val="-4"/>
          <w:w w:val="90"/>
          <w:sz w:val="16"/>
        </w:rPr>
        <w:t>Leucopenia, neutropenia, agranulocitosis y [véase </w:t>
      </w:r>
      <w:r>
        <w:rPr>
          <w:i/>
          <w:w w:val="90"/>
          <w:sz w:val="16"/>
        </w:rPr>
        <w:t>Advertencias y precauciones (5.9)]</w:t>
      </w:r>
    </w:p>
    <w:p>
      <w:pPr>
        <w:pStyle w:val="ListParagraph"/>
        <w:numPr>
          <w:ilvl w:val="0"/>
          <w:numId w:val="2"/>
        </w:numPr>
        <w:tabs>
          <w:tab w:pos="320" w:val="left" w:leader="none"/>
        </w:tabs>
        <w:spacing w:line="182" w:lineRule="exact" w:before="0" w:after="0"/>
        <w:ind w:left="319" w:right="0" w:hanging="180"/>
        <w:jc w:val="both"/>
        <w:rPr>
          <w:i/>
          <w:sz w:val="16"/>
        </w:rPr>
      </w:pPr>
      <w:r>
        <w:rPr>
          <w:sz w:val="16"/>
        </w:rPr>
        <w:t>Convulsiones [ver Advertencias y precauciones (5.10)]</w:t>
      </w:r>
    </w:p>
    <w:p>
      <w:pPr>
        <w:pStyle w:val="ListParagraph"/>
        <w:numPr>
          <w:ilvl w:val="0"/>
          <w:numId w:val="2"/>
        </w:numPr>
        <w:tabs>
          <w:tab w:pos="320" w:val="left" w:leader="none"/>
        </w:tabs>
        <w:spacing w:line="182" w:lineRule="exact" w:before="165" w:after="0"/>
        <w:ind w:left="319" w:right="0" w:hanging="180"/>
        <w:jc w:val="both"/>
        <w:rPr>
          <w:i/>
          <w:sz w:val="16"/>
        </w:rPr>
      </w:pPr>
      <w:r>
        <w:rPr>
          <w:spacing w:val="-4"/>
          <w:w w:val="88"/>
          <w:sz w:val="16"/>
        </w:rPr>
        <w:br w:type="column"/>
      </w:r>
      <w:r>
        <w:rPr>
          <w:spacing w:val="-4"/>
          <w:sz w:val="16"/>
        </w:rPr>
        <w:t>Potencial para cognitiva y deterioro motor [véase </w:t>
      </w:r>
      <w:r>
        <w:rPr>
          <w:i/>
          <w:sz w:val="16"/>
        </w:rPr>
        <w:t>Advertencias y precauciones (5.11)]</w:t>
      </w:r>
    </w:p>
    <w:p>
      <w:pPr>
        <w:pStyle w:val="ListParagraph"/>
        <w:numPr>
          <w:ilvl w:val="0"/>
          <w:numId w:val="2"/>
        </w:numPr>
        <w:tabs>
          <w:tab w:pos="320" w:val="left" w:leader="none"/>
        </w:tabs>
        <w:spacing w:line="179" w:lineRule="exact" w:before="0" w:after="0"/>
        <w:ind w:left="319" w:right="0" w:hanging="180"/>
        <w:jc w:val="both"/>
        <w:rPr>
          <w:i/>
          <w:sz w:val="16"/>
        </w:rPr>
      </w:pPr>
      <w:r>
        <w:rPr>
          <w:sz w:val="16"/>
        </w:rPr>
        <w:t>Regulación de la temperatura corporal [véase Advertencias y precauciones (5.12)]</w:t>
      </w:r>
    </w:p>
    <w:p>
      <w:pPr>
        <w:pStyle w:val="ListParagraph"/>
        <w:numPr>
          <w:ilvl w:val="0"/>
          <w:numId w:val="2"/>
        </w:numPr>
        <w:tabs>
          <w:tab w:pos="320" w:val="left" w:leader="none"/>
        </w:tabs>
        <w:spacing w:line="182" w:lineRule="exact" w:before="0" w:after="0"/>
        <w:ind w:left="319" w:right="0" w:hanging="180"/>
        <w:jc w:val="both"/>
        <w:rPr>
          <w:i/>
          <w:sz w:val="16"/>
        </w:rPr>
      </w:pPr>
      <w:r>
        <w:rPr>
          <w:sz w:val="16"/>
        </w:rPr>
        <w:t>Disfagia [ver Advertencias y precauciones (5.13)]</w:t>
      </w:r>
    </w:p>
    <w:p>
      <w:pPr>
        <w:pStyle w:val="Heading3"/>
        <w:numPr>
          <w:ilvl w:val="1"/>
          <w:numId w:val="11"/>
        </w:numPr>
        <w:tabs>
          <w:tab w:pos="540" w:val="left" w:leader="none"/>
        </w:tabs>
        <w:spacing w:line="240" w:lineRule="auto" w:before="38" w:after="0"/>
        <w:ind w:left="539" w:right="0" w:hanging="400"/>
        <w:jc w:val="both"/>
      </w:pPr>
      <w:r>
        <w:rPr>
          <w:w w:val="95"/>
        </w:rPr>
        <w:t>Experiencia en ensayos clínicos</w:t>
      </w:r>
    </w:p>
    <w:p>
      <w:pPr>
        <w:pStyle w:val="BodyText"/>
        <w:spacing w:line="216" w:lineRule="auto" w:before="25"/>
        <w:ind w:left="139" w:right="717"/>
        <w:jc w:val="both"/>
      </w:pPr>
      <w:r>
        <w:rPr>
          <w:w w:val="95"/>
        </w:rPr>
        <w:t>Dado que los ensayos clínicos se realizan en condiciones muy variables, las tasas de reacciones adversas observadas en los ensayos clínicos de un fármaco no pueden compararse directamente con las tasas de los ensayos clínicos de otro fármaco y pueden no reflejar las tasas observadas </w:t>
      </w:r>
      <w:r>
        <w:rPr/>
        <w:t>en la práctica.</w:t>
      </w:r>
    </w:p>
    <w:p>
      <w:pPr>
        <w:pStyle w:val="Heading3"/>
        <w:spacing w:before="40"/>
        <w:ind w:left="139"/>
        <w:jc w:val="both"/>
      </w:pPr>
      <w:r>
        <w:rPr>
          <w:w w:val="95"/>
        </w:rPr>
        <w:t>Base de datos de seguridad del aripiprazol Mantenim y aripiprazol oral</w:t>
      </w:r>
    </w:p>
    <w:p>
      <w:pPr>
        <w:pStyle w:val="BodyText"/>
        <w:spacing w:line="216" w:lineRule="auto" w:before="25"/>
        <w:ind w:left="139" w:right="717"/>
        <w:jc w:val="both"/>
      </w:pPr>
      <w:r>
        <w:rPr/>
        <w:t>aripiprazol oral se ha evaluado la seguridad en 16,114 pacientes adultos que participaron en dosis múltiple, los ensayos clínicos en la esquizofrenia y otras indicaciones, y que contaba con aproximadamente 8578 años-paciente de exposición a aripiprazol oral. Un total de 3.901 pacientes fueron tratados con aripiprazol oral para al menos 180 días, 2.259 pacientes fueron tratados con aripiprazol oral para al menos 360 días, y 933 pacientes que continuaron el tratamiento con aripiprazol durante al menos 720 días.</w:t>
      </w:r>
    </w:p>
    <w:p>
      <w:pPr>
        <w:pStyle w:val="BodyText"/>
        <w:spacing w:line="216" w:lineRule="auto" w:before="39"/>
        <w:ind w:left="139" w:right="717"/>
        <w:jc w:val="both"/>
      </w:pPr>
      <w:r>
        <w:rPr>
          <w:w w:val="90"/>
        </w:rPr>
        <w:t>ABILIFY Mantenim se ha evaluado la seguridad en 2.128 pacientes adultos en clínica </w:t>
      </w:r>
      <w:r>
        <w:rPr/>
        <w:t>ensayos en la esquizofrenia, con aproximadamente 2633 años-paciente de la exposición a ABILIFY Mantenim. Un total de 1.229 pacientes fueron tratados con ABILIFY Mantenim durante al menos 180 días (al menos 7 inyecciones consecutivas) y 935 pacientes tratados con ABILIFY Mantenim tenido al menos 1 año de exposición (al menos 13 inyecciones consecutivas).</w:t>
      </w:r>
    </w:p>
    <w:p>
      <w:pPr>
        <w:pStyle w:val="BodyText"/>
        <w:spacing w:line="216" w:lineRule="auto" w:before="40"/>
        <w:ind w:left="139" w:right="719"/>
        <w:jc w:val="both"/>
      </w:pPr>
      <w:r>
        <w:rPr>
          <w:w w:val="95"/>
        </w:rPr>
        <w:t>ABILIFY Mantenim se ha evaluado la seguridad en 804 pacientes adultos en clínica </w:t>
      </w:r>
      <w:r>
        <w:rPr/>
        <w:t>ensayos en el trastorno bipolar I, con aproximadamente 530 años-paciente de la exposición a ABILIFY Mantenim. Un total de 419 pacientes fueron tratados con ABILIFY Mantenim durante al menos 180 días (al menos 7 inyecciones consecutivas) y 287 pacientes tratados con ABILIFY Mantenim tenido al menos 1 año de exposición (al menos 13 inyecciones consecutivas).</w:t>
      </w:r>
    </w:p>
    <w:p>
      <w:pPr>
        <w:pStyle w:val="BodyText"/>
        <w:spacing w:line="216" w:lineRule="auto" w:before="40"/>
        <w:ind w:left="139" w:right="717"/>
        <w:jc w:val="both"/>
      </w:pPr>
      <w:r>
        <w:rPr>
          <w:w w:val="90"/>
        </w:rPr>
        <w:t>Las condiciones y la duración del tratamiento con ABILIFY Mantenim incluyen doble estudios ciegos y de etiqueta abierta. Los datos de seguridad se presentan a continuación se derivan del estudio de 12 semanas controlado con placebo doble ciego de ABILIFY Mantenim en adultos</w:t>
      </w:r>
      <w:r>
        <w:rPr/>
        <w:t>pacientes con esquizofrenia.</w:t>
      </w:r>
    </w:p>
    <w:p>
      <w:pPr>
        <w:pStyle w:val="Heading3"/>
        <w:spacing w:before="40"/>
        <w:ind w:left="139"/>
        <w:jc w:val="both"/>
      </w:pPr>
      <w:r>
        <w:rPr>
          <w:w w:val="95"/>
        </w:rPr>
        <w:t>Las reacciones adversas con ABILIFY Mantenim</w:t>
      </w:r>
    </w:p>
    <w:p>
      <w:pPr>
        <w:spacing w:line="216" w:lineRule="auto" w:before="25"/>
        <w:ind w:left="139" w:right="718" w:firstLine="0"/>
        <w:jc w:val="both"/>
        <w:rPr>
          <w:i/>
          <w:sz w:val="16"/>
        </w:rPr>
      </w:pPr>
      <w:r>
        <w:rPr>
          <w:i/>
          <w:w w:val="90"/>
          <w:sz w:val="16"/>
        </w:rPr>
        <w:t>Más frecuentemente observado reacciones adversas en doble ciego, controlado con placebo </w:t>
      </w:r>
      <w:r>
        <w:rPr>
          <w:i/>
          <w:sz w:val="16"/>
        </w:rPr>
        <w:t>Ensayos clínicos en la esquizofrenia</w:t>
      </w:r>
    </w:p>
    <w:p>
      <w:pPr>
        <w:pStyle w:val="BodyText"/>
        <w:spacing w:line="216" w:lineRule="auto" w:before="42"/>
        <w:ind w:left="139" w:right="716"/>
        <w:jc w:val="both"/>
      </w:pPr>
      <w:r>
        <w:rPr>
          <w:w w:val="95"/>
        </w:rPr>
        <w:t>Basado en el ensayo controlado con placebo de ABILIFY Mantenim en la esquizofrenia, </w:t>
      </w:r>
      <w:r>
        <w:rPr/>
        <w:t>Las reacciones adversas más comúnmente observados asociados con el uso de ABILIFY Mantenim en pacientes (incidencia de 5% o mayor y la incidencia de aripiprazol al menos el doble que para el placebo) se aumentaron de peso (16,8% vs. 7,0%), acatisia (11,4% vs. 3,5%), dolor en el sitio de inyección (5,4% vs. 0,6%) y sedación (5,4% vs. 1,2%).</w:t>
      </w:r>
    </w:p>
    <w:p>
      <w:pPr>
        <w:spacing w:line="216" w:lineRule="auto" w:before="40"/>
        <w:ind w:left="139" w:right="718" w:firstLine="0"/>
        <w:jc w:val="both"/>
        <w:rPr>
          <w:i/>
          <w:sz w:val="16"/>
        </w:rPr>
      </w:pPr>
      <w:r>
        <w:rPr>
          <w:i/>
          <w:w w:val="90"/>
          <w:sz w:val="16"/>
        </w:rPr>
        <w:t>Las reacciones adversas notificados con frecuencia en doble ciego, controlado con placebo clínica </w:t>
      </w:r>
      <w:r>
        <w:rPr>
          <w:i/>
          <w:sz w:val="16"/>
        </w:rPr>
        <w:t>Los ensayos en esquizofrenia</w:t>
      </w:r>
    </w:p>
    <w:p>
      <w:pPr>
        <w:pStyle w:val="BodyText"/>
        <w:spacing w:line="216" w:lineRule="auto" w:before="42"/>
        <w:ind w:left="139" w:right="716"/>
        <w:jc w:val="both"/>
      </w:pPr>
      <w:r>
        <w:rPr>
          <w:w w:val="95"/>
        </w:rPr>
        <w:t>Las siguientes conclusiones se basan en el estudio doble ciego, controlado con placebo que </w:t>
      </w:r>
      <w:r>
        <w:rPr/>
        <w:t>en comparación ABILIFY Mantenim 400 mg o 300 mg con placebo en pacientes con esquizofrenia. Tabla 7 se enumeran las reacciones adversas reportadas en 2% o más de los sujetos tratados con Mantenim ABILIFY y en una proporción mayor que en el grupo placebo.</w:t>
      </w:r>
    </w:p>
    <w:p>
      <w:pPr>
        <w:pStyle w:val="Heading3"/>
        <w:spacing w:line="235" w:lineRule="auto" w:before="82"/>
        <w:ind w:left="799" w:right="733" w:hanging="660"/>
        <w:jc w:val="both"/>
        <w:rPr>
          <w:sz w:val="9"/>
        </w:rPr>
      </w:pPr>
      <w:r>
        <w:rPr>
          <w:spacing w:val="-3"/>
          <w:w w:val="95"/>
        </w:rPr>
        <w:t>Mesa </w:t>
      </w:r>
      <w:r>
        <w:rPr>
          <w:w w:val="95"/>
        </w:rPr>
        <w:t>7: Reacciones adversas en ≥2% de los pacientes adultos tratados con ABILIFY-Mantenim esquizofrenia en un Triala de 12 semanas doble ciego, controlado con placebo</w:t>
      </w:r>
    </w:p>
    <w:p>
      <w:pPr>
        <w:pStyle w:val="BodyText"/>
        <w:spacing w:line="20" w:lineRule="exact"/>
        <w:ind w:left="134"/>
        <w:rPr>
          <w:sz w:val="2"/>
        </w:rPr>
      </w:pPr>
      <w:r>
        <w:rPr>
          <w:sz w:val="2"/>
        </w:rPr>
        <w:pict>
          <v:group style="width:263.2pt;height:.5pt;mso-position-horizontal-relative:char;mso-position-vertical-relative:line" coordorigin="0,0" coordsize="5264,10">
            <v:line style="position:absolute" from="0,5" to="1995,5" stroked="true" strokeweight=".5pt" strokecolor="#000000">
              <v:stroke dashstyle="solid"/>
            </v:line>
            <v:line style="position:absolute" from="1995,5" to="3716,5" stroked="true" strokeweight=".5pt" strokecolor="#000000">
              <v:stroke dashstyle="solid"/>
            </v:line>
            <v:line style="position:absolute" from="3716,5" to="5264,5" stroked="true" strokeweight=".5pt" strokecolor="#000000">
              <v:stroke dashstyle="solid"/>
            </v:line>
          </v:group>
        </w:pict>
      </w:r>
      <w:r>
        <w:rPr>
          <w:sz w:val="2"/>
        </w:rPr>
      </w:r>
    </w:p>
    <w:p>
      <w:pPr>
        <w:tabs>
          <w:tab w:pos="2366" w:val="left" w:leader="none"/>
          <w:tab w:pos="4367" w:val="left" w:leader="none"/>
        </w:tabs>
        <w:spacing w:line="307" w:lineRule="auto" w:before="32"/>
        <w:ind w:left="247" w:right="958" w:firstLine="2111"/>
        <w:jc w:val="left"/>
        <w:rPr>
          <w:b/>
          <w:sz w:val="16"/>
        </w:rPr>
      </w:pPr>
      <w:r>
        <w:rPr>
          <w:b/>
          <w:w w:val="85"/>
          <w:sz w:val="16"/>
        </w:rPr>
        <w:t>Porcentaje de pacientes que informaron de Reacción</w:t>
      </w:r>
      <w:r>
        <w:rPr>
          <w:b/>
          <w:spacing w:val="-3"/>
          <w:w w:val="85"/>
          <w:position w:val="5"/>
          <w:sz w:val="9"/>
        </w:rPr>
        <w:t>una </w:t>
      </w:r>
      <w:r>
        <w:rPr>
          <w:b/>
          <w:w w:val="90"/>
          <w:sz w:val="16"/>
        </w:rPr>
        <w:t>sistema de Órganos </w:t>
      </w:r>
      <w:r>
        <w:rPr>
          <w:b/>
          <w:w w:val="90"/>
          <w:sz w:val="16"/>
        </w:rPr>
        <w:t>Clase</w:t>
        <w:tab/>
      </w:r>
      <w:r>
        <w:rPr>
          <w:b/>
          <w:w w:val="85"/>
          <w:sz w:val="16"/>
        </w:rPr>
        <w:t>ABILIFY </w:t>
      </w:r>
      <w:r>
        <w:rPr>
          <w:b/>
          <w:w w:val="85"/>
          <w:sz w:val="16"/>
        </w:rPr>
        <w:t>Mantenim</w:t>
        <w:tab/>
      </w:r>
      <w:r>
        <w:rPr>
          <w:b/>
          <w:w w:val="95"/>
          <w:sz w:val="16"/>
        </w:rPr>
        <w:t>Placebo</w:t>
      </w:r>
    </w:p>
    <w:p>
      <w:pPr>
        <w:tabs>
          <w:tab w:pos="2741" w:val="left" w:leader="none"/>
          <w:tab w:pos="4376" w:val="left" w:leader="none"/>
          <w:tab w:pos="5403" w:val="left" w:leader="none"/>
        </w:tabs>
        <w:spacing w:line="150" w:lineRule="exact" w:before="0"/>
        <w:ind w:left="139" w:right="0" w:firstLine="0"/>
        <w:jc w:val="both"/>
        <w:rPr>
          <w:b/>
          <w:sz w:val="16"/>
        </w:rPr>
      </w:pPr>
      <w:r>
        <w:rPr>
          <w:b/>
          <w:w w:val="89"/>
          <w:sz w:val="16"/>
          <w:u w:val="single"/>
        </w:rPr>
        <w:t> </w:t>
      </w:r>
      <w:r>
        <w:rPr>
          <w:b/>
          <w:sz w:val="16"/>
          <w:u w:val="single"/>
        </w:rPr>
        <w:t> Privilegiado </w:t>
      </w:r>
      <w:r>
        <w:rPr>
          <w:b/>
          <w:spacing w:val="-3"/>
          <w:w w:val="90"/>
          <w:sz w:val="16"/>
          <w:u w:val="single"/>
        </w:rPr>
        <w:t>Término</w:t>
        <w:tab/>
      </w:r>
      <w:r>
        <w:rPr>
          <w:b/>
          <w:sz w:val="16"/>
          <w:u w:val="single"/>
        </w:rPr>
        <w:t>(N = 167) (n = 172)</w:t>
        <w:tab/>
        <w:tab/>
      </w:r>
    </w:p>
    <w:p>
      <w:pPr>
        <w:spacing w:before="43"/>
        <w:ind w:left="247" w:right="0" w:firstLine="0"/>
        <w:jc w:val="left"/>
        <w:rPr>
          <w:b/>
          <w:sz w:val="16"/>
        </w:rPr>
      </w:pPr>
      <w:r>
        <w:rPr>
          <w:b/>
          <w:w w:val="95"/>
          <w:sz w:val="16"/>
        </w:rPr>
        <w:t>Desórdenes gastrointestinales</w:t>
      </w:r>
    </w:p>
    <w:p>
      <w:pPr>
        <w:pStyle w:val="BodyText"/>
        <w:tabs>
          <w:tab w:pos="2915" w:val="left" w:leader="none"/>
          <w:tab w:pos="4669" w:val="right" w:leader="none"/>
        </w:tabs>
        <w:spacing w:before="61"/>
        <w:ind w:left="427"/>
      </w:pPr>
      <w:r>
        <w:rPr>
          <w:w w:val="95"/>
        </w:rPr>
        <w:t>Estreñimiento</w:t>
        <w:tab/>
      </w:r>
      <w:r>
        <w:rPr/>
        <w:t>107</w:t>
        <w:tab/>
      </w:r>
    </w:p>
    <w:p>
      <w:pPr>
        <w:pStyle w:val="BodyText"/>
        <w:tabs>
          <w:tab w:pos="2955" w:val="left" w:leader="none"/>
          <w:tab w:pos="4669" w:val="right" w:leader="none"/>
        </w:tabs>
        <w:spacing w:before="60"/>
        <w:ind w:left="427"/>
      </w:pPr>
      <w:r>
        <w:rPr/>
        <w:t>Seco </w:t>
      </w:r>
      <w:r>
        <w:rPr/>
        <w:t>Mouth42</w:t>
        <w:tab/>
        <w:tab/>
      </w:r>
    </w:p>
    <w:p>
      <w:pPr>
        <w:pStyle w:val="BodyText"/>
        <w:tabs>
          <w:tab w:pos="2955" w:val="left" w:leader="none"/>
          <w:tab w:pos="4669" w:val="right" w:leader="none"/>
        </w:tabs>
        <w:spacing w:before="61"/>
        <w:ind w:left="427"/>
      </w:pPr>
      <w:r>
        <w:rPr>
          <w:w w:val="95"/>
        </w:rPr>
        <w:t>Diarrea</w:t>
        <w:tab/>
      </w:r>
      <w:r>
        <w:rPr/>
        <w:t>32</w:t>
        <w:tab/>
      </w:r>
    </w:p>
    <w:p>
      <w:pPr>
        <w:pStyle w:val="BodyText"/>
        <w:tabs>
          <w:tab w:pos="2955" w:val="left" w:leader="none"/>
          <w:tab w:pos="4669" w:val="right" w:leader="none"/>
        </w:tabs>
        <w:spacing w:before="60"/>
        <w:ind w:left="427"/>
      </w:pPr>
      <w:r>
        <w:rPr/>
        <w:t>Vomiting31</w:t>
        <w:tab/>
        <w:tab/>
      </w:r>
    </w:p>
    <w:p>
      <w:pPr>
        <w:pStyle w:val="BodyText"/>
        <w:tabs>
          <w:tab w:pos="2955" w:val="left" w:leader="none"/>
          <w:tab w:pos="4669" w:val="right" w:leader="none"/>
        </w:tabs>
        <w:spacing w:before="61"/>
        <w:ind w:left="427"/>
      </w:pPr>
      <w:r>
        <w:rPr>
          <w:w w:val="95"/>
        </w:rPr>
        <w:t>Abdominal </w:t>
      </w:r>
      <w:r>
        <w:rPr>
          <w:w w:val="95"/>
        </w:rPr>
        <w:t>Incomodidad</w:t>
        <w:tab/>
      </w:r>
      <w:r>
        <w:rPr/>
        <w:t>21</w:t>
        <w:tab/>
      </w:r>
    </w:p>
    <w:p>
      <w:pPr>
        <w:pStyle w:val="Heading3"/>
        <w:spacing w:before="60"/>
        <w:ind w:left="247"/>
      </w:pPr>
      <w:r>
        <w:rPr>
          <w:w w:val="95"/>
        </w:rPr>
        <w:t>Desordenes generales y condiciones administrativas del sitio</w:t>
      </w:r>
    </w:p>
    <w:p>
      <w:pPr>
        <w:pStyle w:val="BodyText"/>
        <w:tabs>
          <w:tab w:pos="2955" w:val="left" w:leader="none"/>
          <w:tab w:pos="4669" w:val="right" w:leader="none"/>
        </w:tabs>
        <w:spacing w:before="61"/>
        <w:ind w:left="427"/>
      </w:pPr>
      <w:r>
        <w:rPr>
          <w:w w:val="95"/>
        </w:rPr>
        <w:t>Lugar de la inyección </w:t>
      </w:r>
      <w:r>
        <w:rPr>
          <w:w w:val="95"/>
        </w:rPr>
        <w:t>Dolor</w:t>
        <w:tab/>
      </w:r>
      <w:r>
        <w:rPr/>
        <w:t>51</w:t>
        <w:tab/>
      </w:r>
    </w:p>
    <w:p>
      <w:pPr>
        <w:spacing w:before="60"/>
        <w:ind w:left="427" w:right="0" w:hanging="180"/>
        <w:jc w:val="left"/>
        <w:rPr>
          <w:b/>
          <w:sz w:val="16"/>
        </w:rPr>
      </w:pPr>
      <w:r>
        <w:rPr>
          <w:b/>
          <w:w w:val="95"/>
          <w:sz w:val="16"/>
        </w:rPr>
        <w:t>Infecciones e infestaciones</w:t>
      </w:r>
    </w:p>
    <w:p>
      <w:pPr>
        <w:pStyle w:val="BodyText"/>
        <w:spacing w:line="235" w:lineRule="auto" w:before="64"/>
        <w:ind w:left="427" w:right="3590"/>
      </w:pPr>
      <w:r>
        <w:rPr/>
        <w:pict>
          <v:shape style="position:absolute;margin-left:452.776001pt;margin-top:7.137821pt;width:85.75pt;height:9.950pt;mso-position-horizontal-relative:page;mso-position-vertical-relative:paragraph;z-index:1264" type="#_x0000_t202" filled="false" stroked="false">
            <v:textbox inset="0,0,0,0">
              <w:txbxContent>
                <w:p>
                  <w:pPr>
                    <w:pStyle w:val="BodyText"/>
                    <w:tabs>
                      <w:tab w:pos="1634" w:val="left" w:leader="none"/>
                    </w:tabs>
                    <w:spacing w:before="8"/>
                  </w:pPr>
                  <w:r>
                    <w:rPr/>
                    <w:t>4</w:t>
                    <w:tab/>
                  </w:r>
                  <w:r>
                    <w:rPr>
                      <w:spacing w:val="-20"/>
                    </w:rPr>
                    <w:t>2</w:t>
                  </w:r>
                </w:p>
              </w:txbxContent>
            </v:textbox>
            <w10:wrap type="none"/>
          </v:shape>
        </w:pict>
      </w:r>
      <w:r>
        <w:rPr>
          <w:w w:val="90"/>
        </w:rPr>
        <w:t>Tracto respiratorio superior </w:t>
      </w:r>
      <w:r>
        <w:rPr/>
        <w:t>Infección</w:t>
      </w:r>
    </w:p>
    <w:p>
      <w:pPr>
        <w:pStyle w:val="Heading3"/>
        <w:spacing w:before="61"/>
        <w:ind w:left="247"/>
      </w:pPr>
      <w:r>
        <w:rPr>
          <w:w w:val="95"/>
        </w:rPr>
        <w:t>investigaciones</w:t>
      </w:r>
    </w:p>
    <w:p>
      <w:pPr>
        <w:pStyle w:val="BodyText"/>
        <w:tabs>
          <w:tab w:pos="2915" w:val="left" w:leader="none"/>
          <w:tab w:pos="4669" w:val="right" w:leader="none"/>
        </w:tabs>
        <w:spacing w:before="60"/>
        <w:ind w:left="427"/>
      </w:pPr>
      <w:r>
        <w:rPr>
          <w:w w:val="95"/>
        </w:rPr>
        <w:t>Aumentado </w:t>
      </w:r>
      <w:r>
        <w:rPr>
          <w:w w:val="95"/>
        </w:rPr>
        <w:t>Peso</w:t>
        <w:tab/>
      </w:r>
      <w:r>
        <w:rPr/>
        <w:t>177</w:t>
        <w:tab/>
      </w:r>
    </w:p>
    <w:p>
      <w:pPr>
        <w:pStyle w:val="BodyText"/>
        <w:tabs>
          <w:tab w:pos="2955" w:val="left" w:leader="none"/>
          <w:tab w:pos="4669" w:val="right" w:leader="none"/>
        </w:tabs>
        <w:spacing w:before="61"/>
        <w:ind w:left="427"/>
      </w:pPr>
      <w:r>
        <w:rPr>
          <w:w w:val="90"/>
        </w:rPr>
        <w:t>Disminución </w:t>
      </w:r>
      <w:r>
        <w:rPr>
          <w:w w:val="90"/>
        </w:rPr>
        <w:t>Peso</w:t>
        <w:tab/>
      </w:r>
      <w:r>
        <w:rPr/>
        <w:t>42</w:t>
        <w:tab/>
      </w:r>
    </w:p>
    <w:p>
      <w:pPr>
        <w:pStyle w:val="Heading3"/>
        <w:spacing w:before="60"/>
        <w:ind w:left="247"/>
      </w:pPr>
      <w:r>
        <w:rPr>
          <w:w w:val="95"/>
        </w:rPr>
        <w:t>Trastornos musculoesqueléticos y del tejido conjuntivo</w:t>
      </w:r>
    </w:p>
    <w:p>
      <w:pPr>
        <w:pStyle w:val="BodyText"/>
        <w:spacing w:before="6"/>
        <w:rPr>
          <w:b/>
          <w:sz w:val="4"/>
        </w:rPr>
      </w:pPr>
    </w:p>
    <w:tbl>
      <w:tblPr>
        <w:tblW w:w="0" w:type="auto"/>
        <w:jc w:val="left"/>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8"/>
        <w:gridCol w:w="1457"/>
        <w:gridCol w:w="907"/>
      </w:tblGrid>
      <w:tr>
        <w:trPr>
          <w:trHeight w:val="221" w:hRule="atLeast"/>
        </w:trPr>
        <w:tc>
          <w:tcPr>
            <w:tcW w:w="1978" w:type="dxa"/>
          </w:tcPr>
          <w:p>
            <w:pPr>
              <w:pStyle w:val="TableParagraph"/>
              <w:spacing w:before="8"/>
              <w:ind w:left="50"/>
              <w:rPr>
                <w:sz w:val="16"/>
              </w:rPr>
            </w:pPr>
            <w:r>
              <w:rPr>
                <w:sz w:val="16"/>
              </w:rPr>
              <w:t>Artralgia</w:t>
            </w:r>
          </w:p>
        </w:tc>
        <w:tc>
          <w:tcPr>
            <w:tcW w:w="1457" w:type="dxa"/>
          </w:tcPr>
          <w:p>
            <w:pPr>
              <w:pStyle w:val="TableParagraph"/>
              <w:spacing w:before="8"/>
              <w:ind w:left="599"/>
              <w:rPr>
                <w:sz w:val="16"/>
              </w:rPr>
            </w:pPr>
            <w:r>
              <w:rPr>
                <w:w w:val="89"/>
                <w:sz w:val="16"/>
              </w:rPr>
              <w:t>4</w:t>
            </w:r>
          </w:p>
        </w:tc>
        <w:tc>
          <w:tcPr>
            <w:tcW w:w="907" w:type="dxa"/>
          </w:tcPr>
          <w:p>
            <w:pPr>
              <w:pStyle w:val="TableParagraph"/>
              <w:spacing w:before="8"/>
              <w:ind w:right="48"/>
              <w:jc w:val="right"/>
              <w:rPr>
                <w:sz w:val="16"/>
              </w:rPr>
            </w:pPr>
            <w:r>
              <w:rPr>
                <w:w w:val="89"/>
                <w:sz w:val="16"/>
              </w:rPr>
              <w:t>1</w:t>
            </w:r>
          </w:p>
        </w:tc>
      </w:tr>
      <w:tr>
        <w:trPr>
          <w:trHeight w:val="244" w:hRule="atLeast"/>
        </w:trPr>
        <w:tc>
          <w:tcPr>
            <w:tcW w:w="1978" w:type="dxa"/>
          </w:tcPr>
          <w:p>
            <w:pPr>
              <w:pStyle w:val="TableParagraph"/>
              <w:spacing w:before="31"/>
              <w:ind w:left="50"/>
              <w:rPr>
                <w:sz w:val="16"/>
              </w:rPr>
            </w:pPr>
            <w:r>
              <w:rPr>
                <w:w w:val="95"/>
                <w:sz w:val="16"/>
              </w:rPr>
              <w:t>Dolor de espalda</w:t>
            </w:r>
          </w:p>
        </w:tc>
        <w:tc>
          <w:tcPr>
            <w:tcW w:w="1457" w:type="dxa"/>
          </w:tcPr>
          <w:p>
            <w:pPr>
              <w:pStyle w:val="TableParagraph"/>
              <w:spacing w:before="31"/>
              <w:ind w:left="599"/>
              <w:rPr>
                <w:sz w:val="16"/>
              </w:rPr>
            </w:pPr>
            <w:r>
              <w:rPr>
                <w:w w:val="89"/>
                <w:sz w:val="16"/>
              </w:rPr>
              <w:t>4</w:t>
            </w:r>
          </w:p>
        </w:tc>
        <w:tc>
          <w:tcPr>
            <w:tcW w:w="907" w:type="dxa"/>
          </w:tcPr>
          <w:p>
            <w:pPr>
              <w:pStyle w:val="TableParagraph"/>
              <w:spacing w:before="31"/>
              <w:ind w:right="48"/>
              <w:jc w:val="right"/>
              <w:rPr>
                <w:sz w:val="16"/>
              </w:rPr>
            </w:pPr>
            <w:r>
              <w:rPr>
                <w:w w:val="89"/>
                <w:sz w:val="16"/>
              </w:rPr>
              <w:t>2</w:t>
            </w:r>
          </w:p>
        </w:tc>
      </w:tr>
      <w:tr>
        <w:trPr>
          <w:trHeight w:val="244" w:hRule="atLeast"/>
        </w:trPr>
        <w:tc>
          <w:tcPr>
            <w:tcW w:w="1978" w:type="dxa"/>
          </w:tcPr>
          <w:p>
            <w:pPr>
              <w:pStyle w:val="TableParagraph"/>
              <w:spacing w:before="31"/>
              <w:ind w:left="50"/>
              <w:rPr>
                <w:sz w:val="16"/>
              </w:rPr>
            </w:pPr>
            <w:r>
              <w:rPr>
                <w:sz w:val="16"/>
              </w:rPr>
              <w:t>Mialgia</w:t>
            </w:r>
          </w:p>
        </w:tc>
        <w:tc>
          <w:tcPr>
            <w:tcW w:w="1457" w:type="dxa"/>
          </w:tcPr>
          <w:p>
            <w:pPr>
              <w:pStyle w:val="TableParagraph"/>
              <w:spacing w:before="31"/>
              <w:ind w:left="599"/>
              <w:rPr>
                <w:sz w:val="16"/>
              </w:rPr>
            </w:pPr>
            <w:r>
              <w:rPr>
                <w:w w:val="89"/>
                <w:sz w:val="16"/>
              </w:rPr>
              <w:t>4</w:t>
            </w:r>
          </w:p>
        </w:tc>
        <w:tc>
          <w:tcPr>
            <w:tcW w:w="907" w:type="dxa"/>
          </w:tcPr>
          <w:p>
            <w:pPr>
              <w:pStyle w:val="TableParagraph"/>
              <w:spacing w:before="31"/>
              <w:ind w:right="48"/>
              <w:jc w:val="right"/>
              <w:rPr>
                <w:sz w:val="16"/>
              </w:rPr>
            </w:pPr>
            <w:r>
              <w:rPr>
                <w:w w:val="89"/>
                <w:sz w:val="16"/>
              </w:rPr>
              <w:t>2</w:t>
            </w:r>
          </w:p>
        </w:tc>
      </w:tr>
      <w:tr>
        <w:trPr>
          <w:trHeight w:val="221" w:hRule="atLeast"/>
        </w:trPr>
        <w:tc>
          <w:tcPr>
            <w:tcW w:w="1978" w:type="dxa"/>
          </w:tcPr>
          <w:p>
            <w:pPr>
              <w:pStyle w:val="TableParagraph"/>
              <w:spacing w:line="170" w:lineRule="exact" w:before="31"/>
              <w:ind w:left="50"/>
              <w:rPr>
                <w:sz w:val="16"/>
              </w:rPr>
            </w:pPr>
            <w:r>
              <w:rPr>
                <w:sz w:val="16"/>
              </w:rPr>
              <w:t>Dolor musculoesquelético</w:t>
            </w:r>
          </w:p>
        </w:tc>
        <w:tc>
          <w:tcPr>
            <w:tcW w:w="1457" w:type="dxa"/>
          </w:tcPr>
          <w:p>
            <w:pPr>
              <w:pStyle w:val="TableParagraph"/>
              <w:spacing w:line="170" w:lineRule="exact" w:before="31"/>
              <w:ind w:left="599"/>
              <w:rPr>
                <w:sz w:val="16"/>
              </w:rPr>
            </w:pPr>
            <w:r>
              <w:rPr>
                <w:w w:val="89"/>
                <w:sz w:val="16"/>
              </w:rPr>
              <w:t>3</w:t>
            </w:r>
          </w:p>
        </w:tc>
        <w:tc>
          <w:tcPr>
            <w:tcW w:w="907" w:type="dxa"/>
          </w:tcPr>
          <w:p>
            <w:pPr>
              <w:pStyle w:val="TableParagraph"/>
              <w:spacing w:line="170" w:lineRule="exact" w:before="31"/>
              <w:ind w:right="48"/>
              <w:jc w:val="right"/>
              <w:rPr>
                <w:sz w:val="16"/>
              </w:rPr>
            </w:pPr>
            <w:r>
              <w:rPr>
                <w:w w:val="89"/>
                <w:sz w:val="16"/>
              </w:rPr>
              <w:t>1</w:t>
            </w:r>
          </w:p>
        </w:tc>
      </w:tr>
    </w:tbl>
    <w:p>
      <w:pPr>
        <w:spacing w:after="0" w:line="170" w:lineRule="exact"/>
        <w:jc w:val="right"/>
        <w:rPr>
          <w:sz w:val="16"/>
        </w:rPr>
        <w:sectPr>
          <w:headerReference w:type="default" r:id="rId27"/>
          <w:pgSz w:w="12240" w:h="15840"/>
          <w:pgMar w:header="676" w:footer="367" w:top="860" w:bottom="640" w:left="580" w:right="0"/>
          <w:cols w:num="2" w:equalWidth="0">
            <w:col w:w="5462" w:space="59"/>
            <w:col w:w="6139"/>
          </w:cols>
        </w:sectPr>
      </w:pPr>
    </w:p>
    <w:p>
      <w:pPr>
        <w:pStyle w:val="BodyText"/>
        <w:spacing w:before="5"/>
        <w:rPr>
          <w:b/>
          <w:sz w:val="18"/>
        </w:rPr>
      </w:pPr>
    </w:p>
    <w:p>
      <w:pPr>
        <w:spacing w:line="235" w:lineRule="auto" w:before="1"/>
        <w:ind w:left="800" w:right="55" w:hanging="660"/>
        <w:jc w:val="both"/>
        <w:rPr>
          <w:b/>
          <w:sz w:val="16"/>
        </w:rPr>
      </w:pPr>
      <w:r>
        <w:rPr>
          <w:b/>
          <w:spacing w:val="-3"/>
          <w:w w:val="95"/>
          <w:sz w:val="16"/>
        </w:rPr>
        <w:t>Mesa </w:t>
      </w:r>
      <w:r>
        <w:rPr>
          <w:b/>
          <w:w w:val="95"/>
          <w:sz w:val="16"/>
        </w:rPr>
        <w:t>7: Reacciones adversas en ≥2% de los pacientes adultos tratados con ABILIFY-Mantenim esquizofrenia en un ensayo de 12 semanas doble ciego, controlado con placebo</w:t>
      </w:r>
      <w:r>
        <w:rPr>
          <w:b/>
          <w:spacing w:val="-3"/>
          <w:w w:val="95"/>
          <w:position w:val="5"/>
          <w:sz w:val="9"/>
        </w:rPr>
        <w:t>una </w:t>
      </w:r>
      <w:r>
        <w:rPr>
          <w:b/>
          <w:w w:val="95"/>
          <w:sz w:val="16"/>
        </w:rPr>
        <w:t>(Continuación)</w:t>
      </w:r>
    </w:p>
    <w:p>
      <w:pPr>
        <w:pStyle w:val="BodyText"/>
        <w:spacing w:line="20" w:lineRule="exact"/>
        <w:ind w:left="135" w:right="-15"/>
        <w:rPr>
          <w:sz w:val="2"/>
        </w:rPr>
      </w:pPr>
      <w:r>
        <w:rPr>
          <w:sz w:val="2"/>
        </w:rPr>
        <w:pict>
          <v:group style="width:263.2pt;height:.5pt;mso-position-horizontal-relative:char;mso-position-vertical-relative:line" coordorigin="0,0" coordsize="5264,10">
            <v:line style="position:absolute" from="0,5" to="1995,5" stroked="true" strokeweight=".5pt" strokecolor="#000000">
              <v:stroke dashstyle="solid"/>
            </v:line>
            <v:line style="position:absolute" from="1995,5" to="3716,5" stroked="true" strokeweight=".5pt" strokecolor="#000000">
              <v:stroke dashstyle="solid"/>
            </v:line>
            <v:line style="position:absolute" from="3716,5" to="5264,5" stroked="true" strokeweight=".5pt" strokecolor="#000000">
              <v:stroke dashstyle="solid"/>
            </v:line>
          </v:group>
        </w:pict>
      </w:r>
      <w:r>
        <w:rPr>
          <w:sz w:val="2"/>
        </w:rPr>
      </w:r>
    </w:p>
    <w:p>
      <w:pPr>
        <w:tabs>
          <w:tab w:pos="2366" w:val="left" w:leader="none"/>
          <w:tab w:pos="4367" w:val="left" w:leader="none"/>
        </w:tabs>
        <w:spacing w:line="307" w:lineRule="auto" w:before="31"/>
        <w:ind w:left="247" w:right="280" w:firstLine="2111"/>
        <w:jc w:val="left"/>
        <w:rPr>
          <w:b/>
          <w:sz w:val="16"/>
        </w:rPr>
      </w:pPr>
      <w:r>
        <w:rPr>
          <w:b/>
          <w:w w:val="85"/>
          <w:sz w:val="16"/>
        </w:rPr>
        <w:t>Porcentaje de pacientes que informaron de Reacción</w:t>
      </w:r>
      <w:r>
        <w:rPr>
          <w:b/>
          <w:spacing w:val="-3"/>
          <w:w w:val="85"/>
          <w:position w:val="5"/>
          <w:sz w:val="9"/>
        </w:rPr>
        <w:t>una </w:t>
      </w:r>
      <w:r>
        <w:rPr>
          <w:b/>
          <w:w w:val="90"/>
          <w:sz w:val="16"/>
        </w:rPr>
        <w:t>sistema de Órganos </w:t>
      </w:r>
      <w:r>
        <w:rPr>
          <w:b/>
          <w:w w:val="90"/>
          <w:sz w:val="16"/>
        </w:rPr>
        <w:t>Clase</w:t>
        <w:tab/>
      </w:r>
      <w:r>
        <w:rPr>
          <w:b/>
          <w:w w:val="85"/>
          <w:sz w:val="16"/>
        </w:rPr>
        <w:t>ABILIFY </w:t>
      </w:r>
      <w:r>
        <w:rPr>
          <w:b/>
          <w:w w:val="85"/>
          <w:sz w:val="16"/>
        </w:rPr>
        <w:t>Mantenim</w:t>
        <w:tab/>
      </w:r>
      <w:r>
        <w:rPr>
          <w:b/>
          <w:w w:val="95"/>
          <w:sz w:val="16"/>
        </w:rPr>
        <w:t>Placebo</w:t>
      </w:r>
    </w:p>
    <w:p>
      <w:pPr>
        <w:tabs>
          <w:tab w:pos="2742" w:val="left" w:leader="none"/>
          <w:tab w:pos="4376" w:val="left" w:leader="none"/>
          <w:tab w:pos="5403" w:val="left" w:leader="none"/>
        </w:tabs>
        <w:spacing w:line="150" w:lineRule="exact" w:before="0"/>
        <w:ind w:left="140" w:right="0" w:firstLine="0"/>
        <w:jc w:val="both"/>
        <w:rPr>
          <w:b/>
          <w:sz w:val="16"/>
        </w:rPr>
      </w:pPr>
      <w:r>
        <w:rPr>
          <w:b/>
          <w:w w:val="89"/>
          <w:sz w:val="16"/>
          <w:u w:val="single"/>
        </w:rPr>
        <w:t> </w:t>
      </w:r>
      <w:r>
        <w:rPr>
          <w:b/>
          <w:sz w:val="16"/>
          <w:u w:val="single"/>
        </w:rPr>
        <w:t> Privilegiado </w:t>
      </w:r>
      <w:r>
        <w:rPr>
          <w:b/>
          <w:spacing w:val="-3"/>
          <w:w w:val="90"/>
          <w:sz w:val="16"/>
          <w:u w:val="single"/>
        </w:rPr>
        <w:t>Término</w:t>
        <w:tab/>
      </w:r>
      <w:r>
        <w:rPr>
          <w:b/>
          <w:sz w:val="16"/>
          <w:u w:val="single"/>
        </w:rPr>
        <w:t>(N = 167) (n = 172)</w:t>
        <w:tab/>
        <w:tab/>
      </w:r>
    </w:p>
    <w:p>
      <w:pPr>
        <w:spacing w:before="37"/>
        <w:ind w:left="248" w:right="0" w:firstLine="0"/>
        <w:jc w:val="left"/>
        <w:rPr>
          <w:b/>
          <w:sz w:val="16"/>
        </w:rPr>
      </w:pPr>
      <w:r>
        <w:rPr>
          <w:b/>
          <w:w w:val="95"/>
          <w:sz w:val="16"/>
        </w:rPr>
        <w:t>Trastornos del Sistema Nervioso</w:t>
      </w:r>
    </w:p>
    <w:p>
      <w:pPr>
        <w:pStyle w:val="BodyText"/>
        <w:spacing w:before="3"/>
        <w:rPr>
          <w:b/>
          <w:sz w:val="3"/>
        </w:rPr>
      </w:pPr>
    </w:p>
    <w:tbl>
      <w:tblPr>
        <w:tblW w:w="0" w:type="auto"/>
        <w:jc w:val="left"/>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87"/>
        <w:gridCol w:w="1868"/>
        <w:gridCol w:w="887"/>
      </w:tblGrid>
      <w:tr>
        <w:trPr>
          <w:trHeight w:val="214" w:hRule="atLeast"/>
        </w:trPr>
        <w:tc>
          <w:tcPr>
            <w:tcW w:w="1587" w:type="dxa"/>
          </w:tcPr>
          <w:p>
            <w:pPr>
              <w:pStyle w:val="TableParagraph"/>
              <w:spacing w:before="8"/>
              <w:ind w:left="50"/>
              <w:rPr>
                <w:sz w:val="16"/>
              </w:rPr>
            </w:pPr>
            <w:r>
              <w:rPr>
                <w:sz w:val="16"/>
              </w:rPr>
              <w:t>acatisia</w:t>
            </w:r>
          </w:p>
        </w:tc>
        <w:tc>
          <w:tcPr>
            <w:tcW w:w="1868" w:type="dxa"/>
          </w:tcPr>
          <w:p>
            <w:pPr>
              <w:pStyle w:val="TableParagraph"/>
              <w:spacing w:before="8"/>
              <w:ind w:right="755"/>
              <w:jc w:val="right"/>
              <w:rPr>
                <w:sz w:val="16"/>
              </w:rPr>
            </w:pPr>
            <w:r>
              <w:rPr>
                <w:w w:val="85"/>
                <w:sz w:val="16"/>
              </w:rPr>
              <w:t>11</w:t>
            </w:r>
          </w:p>
        </w:tc>
        <w:tc>
          <w:tcPr>
            <w:tcW w:w="887" w:type="dxa"/>
          </w:tcPr>
          <w:p>
            <w:pPr>
              <w:pStyle w:val="TableParagraph"/>
              <w:spacing w:before="8"/>
              <w:ind w:right="48"/>
              <w:jc w:val="right"/>
              <w:rPr>
                <w:sz w:val="16"/>
              </w:rPr>
            </w:pPr>
            <w:r>
              <w:rPr>
                <w:w w:val="89"/>
                <w:sz w:val="16"/>
              </w:rPr>
              <w:t>4</w:t>
            </w:r>
          </w:p>
        </w:tc>
      </w:tr>
      <w:tr>
        <w:trPr>
          <w:trHeight w:val="230" w:hRule="atLeast"/>
        </w:trPr>
        <w:tc>
          <w:tcPr>
            <w:tcW w:w="1587" w:type="dxa"/>
          </w:tcPr>
          <w:p>
            <w:pPr>
              <w:pStyle w:val="TableParagraph"/>
              <w:spacing w:before="24"/>
              <w:ind w:left="50"/>
              <w:rPr>
                <w:sz w:val="16"/>
              </w:rPr>
            </w:pPr>
            <w:r>
              <w:rPr>
                <w:w w:val="95"/>
                <w:sz w:val="16"/>
              </w:rPr>
              <w:t>Sedación</w:t>
            </w:r>
          </w:p>
        </w:tc>
        <w:tc>
          <w:tcPr>
            <w:tcW w:w="1868" w:type="dxa"/>
          </w:tcPr>
          <w:p>
            <w:pPr>
              <w:pStyle w:val="TableParagraph"/>
              <w:spacing w:before="24"/>
              <w:ind w:right="795"/>
              <w:jc w:val="right"/>
              <w:rPr>
                <w:sz w:val="16"/>
              </w:rPr>
            </w:pPr>
            <w:r>
              <w:rPr>
                <w:w w:val="89"/>
                <w:sz w:val="16"/>
              </w:rPr>
              <w:t>5</w:t>
            </w:r>
          </w:p>
        </w:tc>
        <w:tc>
          <w:tcPr>
            <w:tcW w:w="887" w:type="dxa"/>
          </w:tcPr>
          <w:p>
            <w:pPr>
              <w:pStyle w:val="TableParagraph"/>
              <w:spacing w:before="24"/>
              <w:ind w:right="48"/>
              <w:jc w:val="right"/>
              <w:rPr>
                <w:sz w:val="16"/>
              </w:rPr>
            </w:pPr>
            <w:r>
              <w:rPr>
                <w:w w:val="89"/>
                <w:sz w:val="16"/>
              </w:rPr>
              <w:t>1</w:t>
            </w:r>
          </w:p>
        </w:tc>
      </w:tr>
      <w:tr>
        <w:trPr>
          <w:trHeight w:val="230" w:hRule="atLeast"/>
        </w:trPr>
        <w:tc>
          <w:tcPr>
            <w:tcW w:w="1587" w:type="dxa"/>
          </w:tcPr>
          <w:p>
            <w:pPr>
              <w:pStyle w:val="TableParagraph"/>
              <w:spacing w:before="24"/>
              <w:ind w:left="50"/>
              <w:rPr>
                <w:sz w:val="16"/>
              </w:rPr>
            </w:pPr>
            <w:r>
              <w:rPr>
                <w:w w:val="95"/>
                <w:sz w:val="16"/>
              </w:rPr>
              <w:t>Mareo</w:t>
            </w:r>
          </w:p>
        </w:tc>
        <w:tc>
          <w:tcPr>
            <w:tcW w:w="1868" w:type="dxa"/>
          </w:tcPr>
          <w:p>
            <w:pPr>
              <w:pStyle w:val="TableParagraph"/>
              <w:spacing w:before="24"/>
              <w:ind w:right="795"/>
              <w:jc w:val="right"/>
              <w:rPr>
                <w:sz w:val="16"/>
              </w:rPr>
            </w:pPr>
            <w:r>
              <w:rPr>
                <w:w w:val="89"/>
                <w:sz w:val="16"/>
              </w:rPr>
              <w:t>4</w:t>
            </w:r>
          </w:p>
        </w:tc>
        <w:tc>
          <w:tcPr>
            <w:tcW w:w="887" w:type="dxa"/>
          </w:tcPr>
          <w:p>
            <w:pPr>
              <w:pStyle w:val="TableParagraph"/>
              <w:spacing w:before="24"/>
              <w:ind w:right="48"/>
              <w:jc w:val="right"/>
              <w:rPr>
                <w:sz w:val="16"/>
              </w:rPr>
            </w:pPr>
            <w:r>
              <w:rPr>
                <w:w w:val="89"/>
                <w:sz w:val="16"/>
              </w:rPr>
              <w:t>2</w:t>
            </w:r>
          </w:p>
        </w:tc>
      </w:tr>
      <w:tr>
        <w:trPr>
          <w:trHeight w:val="214" w:hRule="atLeast"/>
        </w:trPr>
        <w:tc>
          <w:tcPr>
            <w:tcW w:w="1587" w:type="dxa"/>
          </w:tcPr>
          <w:p>
            <w:pPr>
              <w:pStyle w:val="TableParagraph"/>
              <w:spacing w:line="170" w:lineRule="exact" w:before="24"/>
              <w:ind w:left="50"/>
              <w:rPr>
                <w:sz w:val="16"/>
              </w:rPr>
            </w:pPr>
            <w:r>
              <w:rPr>
                <w:sz w:val="16"/>
              </w:rPr>
              <w:t>Temblor</w:t>
            </w:r>
          </w:p>
        </w:tc>
        <w:tc>
          <w:tcPr>
            <w:tcW w:w="1868" w:type="dxa"/>
          </w:tcPr>
          <w:p>
            <w:pPr>
              <w:pStyle w:val="TableParagraph"/>
              <w:spacing w:line="170" w:lineRule="exact" w:before="24"/>
              <w:ind w:right="795"/>
              <w:jc w:val="right"/>
              <w:rPr>
                <w:sz w:val="16"/>
              </w:rPr>
            </w:pPr>
            <w:r>
              <w:rPr>
                <w:w w:val="89"/>
                <w:sz w:val="16"/>
              </w:rPr>
              <w:t>3</w:t>
            </w:r>
          </w:p>
        </w:tc>
        <w:tc>
          <w:tcPr>
            <w:tcW w:w="887" w:type="dxa"/>
          </w:tcPr>
          <w:p>
            <w:pPr>
              <w:pStyle w:val="TableParagraph"/>
              <w:spacing w:line="170" w:lineRule="exact" w:before="24"/>
              <w:ind w:right="48"/>
              <w:jc w:val="right"/>
              <w:rPr>
                <w:sz w:val="16"/>
              </w:rPr>
            </w:pPr>
            <w:r>
              <w:rPr>
                <w:w w:val="89"/>
                <w:sz w:val="16"/>
              </w:rPr>
              <w:t>1</w:t>
            </w:r>
          </w:p>
        </w:tc>
      </w:tr>
    </w:tbl>
    <w:p>
      <w:pPr>
        <w:spacing w:before="40"/>
        <w:ind w:left="248" w:right="0" w:firstLine="0"/>
        <w:jc w:val="left"/>
        <w:rPr>
          <w:b/>
          <w:sz w:val="16"/>
        </w:rPr>
      </w:pPr>
      <w:r>
        <w:rPr>
          <w:b/>
          <w:w w:val="95"/>
          <w:sz w:val="16"/>
        </w:rPr>
        <w:t>Respiratorios, torácicos y mediastínicos</w:t>
      </w:r>
    </w:p>
    <w:p>
      <w:pPr>
        <w:pStyle w:val="BodyText"/>
        <w:tabs>
          <w:tab w:pos="2955" w:val="left" w:leader="none"/>
          <w:tab w:pos="4589" w:val="left" w:leader="none"/>
          <w:tab w:pos="5403" w:val="left" w:leader="none"/>
        </w:tabs>
        <w:spacing w:before="46"/>
        <w:ind w:left="140"/>
        <w:jc w:val="both"/>
      </w:pPr>
      <w:r>
        <w:rPr>
          <w:w w:val="89"/>
          <w:u w:val="single"/>
        </w:rPr>
        <w:t> </w:t>
      </w:r>
      <w:r>
        <w:rPr>
          <w:u w:val="single"/>
        </w:rPr>
        <w:t> Nasal </w:t>
      </w:r>
      <w:r>
        <w:rPr>
          <w:w w:val="90"/>
          <w:u w:val="single"/>
        </w:rPr>
        <w:t>Congestión</w:t>
        <w:tab/>
      </w:r>
      <w:r>
        <w:rPr>
          <w:u w:val="single"/>
        </w:rPr>
        <w:t>21</w:t>
        <w:tab/>
        <w:tab/>
      </w:r>
    </w:p>
    <w:p>
      <w:pPr>
        <w:pStyle w:val="BodyText"/>
        <w:spacing w:line="235" w:lineRule="auto" w:before="55"/>
        <w:ind w:left="434" w:right="151" w:hanging="187"/>
      </w:pPr>
      <w:r>
        <w:rPr>
          <w:w w:val="95"/>
          <w:position w:val="7"/>
          <w:sz w:val="11"/>
        </w:rPr>
        <w:t>una </w:t>
      </w:r>
      <w:r>
        <w:rPr>
          <w:w w:val="95"/>
        </w:rPr>
        <w:t>Esta tabla no incluye las reacciones adversas que tuvieron una incidencia igual a </w:t>
      </w:r>
      <w:r>
        <w:rPr/>
        <w:t>o menos que el placebo.</w:t>
      </w:r>
    </w:p>
    <w:p>
      <w:pPr>
        <w:pStyle w:val="BodyText"/>
        <w:spacing w:line="20" w:lineRule="exact"/>
        <w:ind w:left="135" w:right="-15"/>
        <w:rPr>
          <w:sz w:val="2"/>
        </w:rPr>
      </w:pPr>
      <w:r>
        <w:rPr>
          <w:sz w:val="2"/>
        </w:rPr>
        <w:pict>
          <v:group style="width:263.2pt;height:.5pt;mso-position-horizontal-relative:char;mso-position-vertical-relative:line" coordorigin="0,0" coordsize="5264,10">
            <v:line style="position:absolute" from="0,5" to="1995,5" stroked="true" strokeweight=".5pt" strokecolor="#000000">
              <v:stroke dashstyle="solid"/>
            </v:line>
            <v:line style="position:absolute" from="1995,5" to="3716,5" stroked="true" strokeweight=".5pt" strokecolor="#000000">
              <v:stroke dashstyle="solid"/>
            </v:line>
            <v:line style="position:absolute" from="3716,5" to="5264,5" stroked="true" strokeweight=".5pt" strokecolor="#000000">
              <v:stroke dashstyle="solid"/>
            </v:line>
          </v:group>
        </w:pict>
      </w:r>
      <w:r>
        <w:rPr>
          <w:sz w:val="2"/>
        </w:rPr>
      </w:r>
    </w:p>
    <w:p>
      <w:pPr>
        <w:spacing w:line="216" w:lineRule="auto" w:before="154"/>
        <w:ind w:left="139" w:right="38" w:firstLine="0"/>
        <w:jc w:val="both"/>
        <w:rPr>
          <w:i/>
          <w:sz w:val="16"/>
        </w:rPr>
      </w:pPr>
      <w:r>
        <w:rPr>
          <w:i/>
          <w:w w:val="95"/>
          <w:sz w:val="16"/>
        </w:rPr>
        <w:t>Otras reacciones adversas observadas durante la evaluación clínica de prueba de ABILIFY Mantenim</w:t>
      </w:r>
    </w:p>
    <w:p>
      <w:pPr>
        <w:pStyle w:val="BodyText"/>
        <w:spacing w:line="216" w:lineRule="auto" w:before="27"/>
        <w:ind w:left="139" w:right="39"/>
        <w:jc w:val="both"/>
      </w:pPr>
      <w:r>
        <w:rPr>
          <w:w w:val="95"/>
        </w:rPr>
        <w:t>El siguiente listado no incluye reacciones: 1) ya enumerados en las tablas anteriores o en el etiquetado en otros lugares, 2) para los que una causa de drogas era remota, 3) que eran tan general como para ser poco informativo, 4), que no se considera que tienen significativa implicaciones clínicas, o 5) que se produjeron a una velocidad igual o menor que el placebo.</w:t>
      </w:r>
    </w:p>
    <w:p>
      <w:pPr>
        <w:pStyle w:val="BodyText"/>
        <w:spacing w:line="216" w:lineRule="auto" w:before="27"/>
        <w:ind w:left="139" w:right="39"/>
        <w:jc w:val="both"/>
      </w:pPr>
      <w:r>
        <w:rPr>
          <w:w w:val="95"/>
        </w:rPr>
        <w:t>Las reacciones se clasifican por el sistema de cuerpo de acuerdo con las siguientes definiciones: reacciones adversas frecuentes son los que ocurren en al menos 1/100 pacientes; reacciones adversas poco frecuentes son los que ocurren en 1/100 a 1/1000 pacientes; reacciones raras son</w:t>
      </w:r>
      <w:r>
        <w:rPr/>
        <w:t>los que se producen en menos de 1/1000 pacientes:</w:t>
      </w:r>
    </w:p>
    <w:p>
      <w:pPr>
        <w:spacing w:before="25"/>
        <w:ind w:left="139" w:right="0" w:firstLine="0"/>
        <w:jc w:val="both"/>
        <w:rPr>
          <w:sz w:val="16"/>
        </w:rPr>
      </w:pPr>
      <w:r>
        <w:rPr>
          <w:i/>
          <w:sz w:val="16"/>
        </w:rPr>
        <w:t>Sangre y del sistema linfático Trastornos raros: </w:t>
      </w:r>
      <w:r>
        <w:rPr>
          <w:sz w:val="16"/>
        </w:rPr>
        <w:t>- trombocitopenia</w:t>
      </w:r>
    </w:p>
    <w:p>
      <w:pPr>
        <w:spacing w:before="11"/>
        <w:ind w:left="139" w:right="0" w:firstLine="0"/>
        <w:jc w:val="both"/>
        <w:rPr>
          <w:sz w:val="16"/>
        </w:rPr>
      </w:pPr>
      <w:r>
        <w:rPr>
          <w:i/>
          <w:w w:val="95"/>
          <w:sz w:val="16"/>
        </w:rPr>
        <w:t>Trastornos cardíacos: poco frecuentes </w:t>
      </w:r>
      <w:r>
        <w:rPr>
          <w:w w:val="95"/>
          <w:sz w:val="16"/>
        </w:rPr>
        <w:t>- taquicardia; rara - bradicardia, taquicardia sinusal</w:t>
      </w:r>
    </w:p>
    <w:p>
      <w:pPr>
        <w:spacing w:before="11"/>
        <w:ind w:left="139" w:right="0" w:firstLine="0"/>
        <w:jc w:val="both"/>
        <w:rPr>
          <w:sz w:val="16"/>
        </w:rPr>
      </w:pPr>
      <w:r>
        <w:rPr>
          <w:i/>
          <w:sz w:val="16"/>
        </w:rPr>
        <w:t>Trastornos endocrinos: rara </w:t>
      </w:r>
      <w:r>
        <w:rPr>
          <w:sz w:val="16"/>
        </w:rPr>
        <w:t>- hipoprolactinemia</w:t>
      </w:r>
    </w:p>
    <w:p>
      <w:pPr>
        <w:spacing w:before="10"/>
        <w:ind w:left="139" w:right="0" w:firstLine="0"/>
        <w:jc w:val="both"/>
        <w:rPr>
          <w:sz w:val="16"/>
        </w:rPr>
      </w:pPr>
      <w:r>
        <w:rPr>
          <w:i/>
          <w:sz w:val="16"/>
        </w:rPr>
        <w:t>Trastornos oculares: poco frecuentes </w:t>
      </w:r>
      <w:r>
        <w:rPr>
          <w:sz w:val="16"/>
        </w:rPr>
        <w:t>- visión borrosa, crisis oculógira</w:t>
      </w:r>
    </w:p>
    <w:p>
      <w:pPr>
        <w:spacing w:line="174" w:lineRule="exact" w:before="11"/>
        <w:ind w:left="139" w:right="0" w:firstLine="0"/>
        <w:jc w:val="both"/>
        <w:rPr>
          <w:sz w:val="16"/>
        </w:rPr>
      </w:pPr>
      <w:r>
        <w:rPr>
          <w:i/>
          <w:w w:val="90"/>
          <w:sz w:val="16"/>
        </w:rPr>
        <w:t>Trastornos gastrointestinales: frecuente </w:t>
      </w:r>
      <w:r>
        <w:rPr>
          <w:w w:val="90"/>
          <w:sz w:val="16"/>
        </w:rPr>
        <w:t>- dolor abdominal superior, dispepsia, náuseas;</w:t>
      </w:r>
    </w:p>
    <w:p>
      <w:pPr>
        <w:spacing w:line="174" w:lineRule="exact" w:before="0"/>
        <w:ind w:left="139" w:right="0" w:firstLine="0"/>
        <w:jc w:val="both"/>
        <w:rPr>
          <w:sz w:val="16"/>
        </w:rPr>
      </w:pPr>
      <w:r>
        <w:rPr>
          <w:i/>
          <w:sz w:val="16"/>
        </w:rPr>
        <w:t>raro </w:t>
      </w:r>
      <w:r>
        <w:rPr>
          <w:sz w:val="16"/>
        </w:rPr>
        <w:t>- inflamación de la lengua</w:t>
      </w:r>
    </w:p>
    <w:p>
      <w:pPr>
        <w:spacing w:line="216" w:lineRule="auto" w:before="25"/>
        <w:ind w:left="139" w:right="39" w:firstLine="0"/>
        <w:jc w:val="both"/>
        <w:rPr>
          <w:sz w:val="16"/>
        </w:rPr>
      </w:pPr>
      <w:r>
        <w:rPr>
          <w:i/>
          <w:w w:val="95"/>
          <w:sz w:val="16"/>
        </w:rPr>
        <w:t>Trastornos generales y el lugar de administración: frecuentes </w:t>
      </w:r>
      <w:r>
        <w:rPr>
          <w:w w:val="95"/>
          <w:sz w:val="16"/>
        </w:rPr>
        <w:t>- fatiga, reacciones en el sitio de inyección (incluyendo eritema, induración, prurito, reacción en el lugar de la inyección, la hinchazón, sarpullido, inflamación, hemorragia); infrecuentes - molestias en el pecho, la marcha</w:t>
      </w:r>
      <w:r>
        <w:rPr>
          <w:sz w:val="16"/>
        </w:rPr>
        <w:t>disturbio; rara - irritabilidad, fiebre</w:t>
      </w:r>
    </w:p>
    <w:p>
      <w:pPr>
        <w:spacing w:line="254" w:lineRule="auto" w:before="12"/>
        <w:ind w:left="139" w:right="1840" w:firstLine="0"/>
        <w:jc w:val="both"/>
        <w:rPr>
          <w:sz w:val="16"/>
        </w:rPr>
      </w:pPr>
      <w:r>
        <w:rPr>
          <w:i/>
          <w:w w:val="95"/>
          <w:sz w:val="16"/>
        </w:rPr>
        <w:t>Trastornos hepatobiliares: Raras </w:t>
      </w:r>
      <w:r>
        <w:rPr>
          <w:w w:val="95"/>
          <w:sz w:val="16"/>
        </w:rPr>
        <w:t>- inducida por fármacos lesión hepática Trastornos del sistema inmunológico: raro - hipersensibilidad a fármacos </w:t>
      </w:r>
      <w:r>
        <w:rPr>
          <w:i/>
          <w:sz w:val="16"/>
        </w:rPr>
        <w:t>Infecciones e infestaciones: raras </w:t>
      </w:r>
      <w:r>
        <w:rPr>
          <w:sz w:val="16"/>
        </w:rPr>
        <w:t>- nasofaringitis</w:t>
      </w:r>
    </w:p>
    <w:p>
      <w:pPr>
        <w:pStyle w:val="BodyText"/>
        <w:spacing w:line="216" w:lineRule="auto" w:before="14"/>
        <w:ind w:left="139" w:right="38"/>
        <w:jc w:val="both"/>
      </w:pPr>
      <w:r>
        <w:rPr>
          <w:i/>
          <w:w w:val="90"/>
        </w:rPr>
        <w:t>Investigaciones: poco frecuentes </w:t>
      </w:r>
      <w:r>
        <w:rPr>
          <w:w w:val="90"/>
        </w:rPr>
        <w:t>- creatina fosfocinasa en sangre aumenta, la presión arterial disminuye, enzimas hepáticas, pruebas de función hepática anormal, electrocardiograma QT-prolongada; raras - los triglicéridos en sangre disminuyeron, el colesterol en sangre disminuye,</w:t>
      </w:r>
      <w:r>
        <w:rPr/>
        <w:t>electrocardiograma onda T anormal</w:t>
      </w:r>
    </w:p>
    <w:p>
      <w:pPr>
        <w:spacing w:line="216" w:lineRule="auto" w:before="27"/>
        <w:ind w:left="139" w:right="40" w:firstLine="0"/>
        <w:jc w:val="both"/>
        <w:rPr>
          <w:sz w:val="16"/>
        </w:rPr>
      </w:pPr>
      <w:r>
        <w:rPr>
          <w:i/>
          <w:w w:val="95"/>
          <w:sz w:val="16"/>
        </w:rPr>
        <w:t>Trastornos metabólicos y nutricionales: poco frecuentes </w:t>
      </w:r>
      <w:r>
        <w:rPr>
          <w:w w:val="95"/>
          <w:sz w:val="16"/>
        </w:rPr>
        <w:t>- disminución del apetito, la obesidad, </w:t>
      </w:r>
      <w:r>
        <w:rPr>
          <w:sz w:val="16"/>
        </w:rPr>
        <w:t>hiperinsulinemia</w:t>
      </w:r>
    </w:p>
    <w:p>
      <w:pPr>
        <w:spacing w:line="216" w:lineRule="auto" w:before="28"/>
        <w:ind w:left="139" w:right="40" w:firstLine="0"/>
        <w:jc w:val="both"/>
        <w:rPr>
          <w:sz w:val="16"/>
        </w:rPr>
      </w:pPr>
      <w:r>
        <w:rPr>
          <w:i/>
          <w:w w:val="90"/>
          <w:sz w:val="16"/>
        </w:rPr>
        <w:t>Trastornos musculoesqueléticos y del tejido conjuntivo: poco frecuentes </w:t>
      </w:r>
      <w:r>
        <w:rPr>
          <w:w w:val="90"/>
          <w:sz w:val="16"/>
        </w:rPr>
        <w:t>- rigidez en las articulaciones, los músculos </w:t>
      </w:r>
      <w:r>
        <w:rPr>
          <w:sz w:val="16"/>
        </w:rPr>
        <w:t>espasmos, trismo; rara - rabdomiolisis</w:t>
      </w:r>
    </w:p>
    <w:p>
      <w:pPr>
        <w:spacing w:line="216" w:lineRule="auto" w:before="29"/>
        <w:ind w:left="139" w:right="39" w:firstLine="0"/>
        <w:jc w:val="both"/>
        <w:rPr>
          <w:sz w:val="16"/>
        </w:rPr>
      </w:pPr>
      <w:r>
        <w:rPr>
          <w:i/>
          <w:w w:val="95"/>
          <w:sz w:val="16"/>
        </w:rPr>
        <w:t>Trastornos del sistema nervioso: frecuentes </w:t>
      </w:r>
      <w:r>
        <w:rPr>
          <w:w w:val="95"/>
          <w:sz w:val="16"/>
        </w:rPr>
        <w:t>- trastornos extrapiramidales, hipersomnia, </w:t>
      </w:r>
      <w:r>
        <w:rPr>
          <w:sz w:val="16"/>
        </w:rPr>
        <w:t>letargo; rara - bradicinesia, convulsión, disgeusia, alteración de la memoria, la distonía oromandibular</w:t>
      </w:r>
    </w:p>
    <w:p>
      <w:pPr>
        <w:spacing w:line="216" w:lineRule="auto" w:before="28"/>
        <w:ind w:left="140" w:right="39" w:firstLine="0"/>
        <w:jc w:val="both"/>
        <w:rPr>
          <w:sz w:val="16"/>
        </w:rPr>
      </w:pPr>
      <w:r>
        <w:rPr>
          <w:i/>
          <w:w w:val="90"/>
          <w:sz w:val="16"/>
        </w:rPr>
        <w:t>Trastornos psiquiátricos: frecuentes </w:t>
      </w:r>
      <w:r>
        <w:rPr>
          <w:w w:val="90"/>
          <w:sz w:val="16"/>
        </w:rPr>
        <w:t>- ansiedad, insomnio, inquietud; infrecuente - agitación, el bruxismo, trastorno psicótico, ideación suicida; rara - agresión, hipersexualidad,</w:t>
      </w:r>
      <w:r>
        <w:rPr>
          <w:sz w:val="16"/>
        </w:rPr>
        <w:t>ataque de pánico</w:t>
      </w:r>
    </w:p>
    <w:p>
      <w:pPr>
        <w:spacing w:line="254" w:lineRule="auto" w:before="12"/>
        <w:ind w:left="140" w:right="328" w:firstLine="0"/>
        <w:jc w:val="left"/>
        <w:rPr>
          <w:sz w:val="16"/>
        </w:rPr>
      </w:pPr>
      <w:r>
        <w:rPr>
          <w:i/>
          <w:w w:val="90"/>
          <w:sz w:val="16"/>
        </w:rPr>
        <w:t>Trastornos renales y urinarios</w:t>
      </w:r>
      <w:r>
        <w:rPr>
          <w:w w:val="90"/>
          <w:sz w:val="16"/>
        </w:rPr>
        <w:t>: raro - glucosuria, polaquiuria, el sistema reproductivo de la incontinencia urinaria y de la mama Trastornos poco frecuentes: - La eyaculación retardada </w:t>
      </w:r>
      <w:r>
        <w:rPr>
          <w:i/>
          <w:sz w:val="16"/>
        </w:rPr>
        <w:t>Trastornos vasculares: poco frecuentes </w:t>
      </w:r>
      <w:r>
        <w:rPr>
          <w:sz w:val="16"/>
        </w:rPr>
        <w:t>- la hipertensión</w:t>
      </w:r>
    </w:p>
    <w:p>
      <w:pPr>
        <w:spacing w:line="182" w:lineRule="exact" w:before="27"/>
        <w:ind w:left="140" w:right="0" w:firstLine="0"/>
        <w:jc w:val="both"/>
        <w:rPr>
          <w:i/>
          <w:sz w:val="16"/>
        </w:rPr>
      </w:pPr>
      <w:r>
        <w:rPr>
          <w:i/>
          <w:sz w:val="16"/>
        </w:rPr>
        <w:t>Las diferencias demográficas</w:t>
      </w:r>
    </w:p>
    <w:p>
      <w:pPr>
        <w:pStyle w:val="BodyText"/>
        <w:spacing w:line="216" w:lineRule="auto" w:before="13"/>
        <w:ind w:left="140" w:right="39"/>
        <w:jc w:val="both"/>
      </w:pPr>
      <w:r>
        <w:rPr>
          <w:w w:val="95"/>
        </w:rPr>
        <w:t>Un examen de los subgrupos de población se llevó a cabo a través demográfica </w:t>
      </w:r>
      <w:r>
        <w:rPr/>
        <w:t>categorías de subgrupo para las reacciones adversas experimentadas por al menos 5% de los sujetos ABILIFY Mantenim a una tasa menos dos veces del placebo (es decir, aumento de peso, la acatisia, dolor en el sitio de inyección, y sedación) en el ensayo doble ciego controlado con placebo. Este análisis no reveló evidencia de diferencias en la seguridad diferencial incidencia de reacciones adversas en función de la edad, sexo o raza solo; sin embargo, hubo pocos sujetos ≥ 65 años de edad.</w:t>
      </w:r>
    </w:p>
    <w:p>
      <w:pPr>
        <w:spacing w:before="23"/>
        <w:ind w:left="140" w:right="0" w:firstLine="0"/>
        <w:jc w:val="both"/>
        <w:rPr>
          <w:i/>
          <w:sz w:val="16"/>
        </w:rPr>
      </w:pPr>
      <w:r>
        <w:rPr>
          <w:i/>
          <w:w w:val="95"/>
          <w:sz w:val="16"/>
        </w:rPr>
        <w:t>Las reacciones del sitio de inyección de ABILIFY Mantenim</w:t>
      </w:r>
    </w:p>
    <w:p>
      <w:pPr>
        <w:pStyle w:val="BodyText"/>
        <w:spacing w:line="216" w:lineRule="auto" w:before="25"/>
        <w:ind w:left="140" w:right="39"/>
        <w:jc w:val="both"/>
      </w:pPr>
      <w:r>
        <w:rPr/>
        <w:t>En los datos de corto plazo, doble ciego, controlado con placebo con ABILIFY Mantenim en pacientes con esquizofrenia, el porcentaje de pacientes que informaron cualquier reacción adversa relacionada con el sitio de inyección (todos reportado como dolor en el lugar de la inyección) fue del 5,4% para los pacientes tratado con glútea administrado ABILIFY Mantenim y 0,6% para el placebo. La intensidad media de dolor de la inyección reportada por los sujetos utilizando una escala analógica visual (0 = sin dolor a 100 = dolor insoportable) aproximadamente una hora después de la inyección fue de 7,1 (SD 14,5) para la primera inyección y 4,8 (SD 12,4) en la última visita en el estudio doble ciego, de fase controlado con placebo.</w:t>
      </w:r>
    </w:p>
    <w:p>
      <w:pPr>
        <w:pStyle w:val="BodyText"/>
        <w:spacing w:before="8"/>
        <w:rPr>
          <w:sz w:val="15"/>
        </w:rPr>
      </w:pPr>
      <w:r>
        <w:rPr/>
        <w:br w:type="column"/>
      </w:r>
      <w:r>
        <w:rPr>
          <w:sz w:val="15"/>
        </w:rPr>
      </w:r>
    </w:p>
    <w:p>
      <w:pPr>
        <w:pStyle w:val="BodyText"/>
        <w:spacing w:line="216" w:lineRule="auto"/>
        <w:ind w:left="139" w:right="717"/>
        <w:jc w:val="both"/>
      </w:pPr>
      <w:r>
        <w:rPr>
          <w:w w:val="90"/>
        </w:rPr>
        <w:t>En un estudio de etiqueta abierta comparando la biodisponibilidad de ABILIFY Mantenim administrado en el deltoides o en el glúteo, se observó dolor en el sitio de inyección en ambos grupos a </w:t>
      </w:r>
      <w:r>
        <w:rPr/>
        <w:t>tasas aproximadamente iguales.</w:t>
      </w:r>
    </w:p>
    <w:p>
      <w:pPr>
        <w:spacing w:before="26"/>
        <w:ind w:left="139" w:right="0" w:firstLine="0"/>
        <w:jc w:val="both"/>
        <w:rPr>
          <w:i/>
          <w:sz w:val="16"/>
        </w:rPr>
      </w:pPr>
      <w:r>
        <w:rPr>
          <w:i/>
          <w:w w:val="90"/>
          <w:sz w:val="16"/>
        </w:rPr>
        <w:t>Los síntomas extrapiramidales (EPS)</w:t>
      </w:r>
    </w:p>
    <w:p>
      <w:pPr>
        <w:pStyle w:val="BodyText"/>
        <w:spacing w:line="216" w:lineRule="auto" w:before="25"/>
        <w:ind w:left="139" w:right="717"/>
        <w:jc w:val="both"/>
      </w:pPr>
      <w:r>
        <w:rPr>
          <w:w w:val="95"/>
        </w:rPr>
        <w:t>A corto plazo, ensayo controlado con placebo de ABILIFY Mantenim en adultos con esquizofrenia, la incidencia de eventos notificados EPS-relacionados, con exclusión de los eventos relacionados con la acatisia, para los pacientes tratados con Mantenim ABILIFY fue 9,6% frente a 5,2% para el placebo. La incidencia de eventos relacionados con la acatisia para los pacientes tratados con aripiprazol Mantenim</w:t>
      </w:r>
      <w:r>
        <w:rPr/>
        <w:t>fue del 11,5% frente a 3,5% para el placebo.</w:t>
      </w:r>
    </w:p>
    <w:p>
      <w:pPr>
        <w:spacing w:before="25"/>
        <w:ind w:left="139" w:right="0" w:firstLine="0"/>
        <w:jc w:val="both"/>
        <w:rPr>
          <w:i/>
          <w:sz w:val="16"/>
        </w:rPr>
      </w:pPr>
      <w:r>
        <w:rPr>
          <w:i/>
          <w:sz w:val="16"/>
        </w:rPr>
        <w:t>distonía</w:t>
      </w:r>
    </w:p>
    <w:p>
      <w:pPr>
        <w:pStyle w:val="BodyText"/>
        <w:spacing w:line="216" w:lineRule="auto" w:before="25"/>
        <w:ind w:left="139" w:right="717"/>
        <w:jc w:val="both"/>
      </w:pPr>
      <w:r>
        <w:rPr>
          <w:w w:val="95"/>
        </w:rPr>
        <w:t>Los síntomas de la distonía, contracciones anormales prolongados de grupos musculares, pueden ocurrir en individuos susceptibles durante los primeros días de tratamiento. síntomas distónicos incluyen: espasmo de los músculos del cuello, a veces progresando a la rigidez</w:t>
      </w:r>
      <w:r>
        <w:rPr/>
        <w:t>de la garganta, dificultad para tragar, dificultad para respirar, y / o protrusión de la lengua. Si bien estos síntomas pueden ocurrir a dosis bajas, que se producen con más frecuencia y con mayor gravedad con alta potencia y en dosis más altas de los fármacos antipsicóticos de primera generación. Un riesgo elevado de distonía aguda se observa en los hombres y de los grupos de edad más jóvenes. A corto plazo, ensayo controlado con placebo de ABILIFY Mantenim en adultos con esquizofrenia, la incidencia de la distonía fue del 1,8% para ABILIFY Mantenim vs. 0,6% para el placebo.</w:t>
      </w:r>
    </w:p>
    <w:p>
      <w:pPr>
        <w:spacing w:line="182" w:lineRule="exact" w:before="22"/>
        <w:ind w:left="139" w:right="0" w:firstLine="0"/>
        <w:jc w:val="both"/>
        <w:rPr>
          <w:i/>
          <w:sz w:val="16"/>
        </w:rPr>
      </w:pPr>
      <w:r>
        <w:rPr>
          <w:i/>
          <w:sz w:val="16"/>
        </w:rPr>
        <w:t>neutropenia</w:t>
      </w:r>
    </w:p>
    <w:p>
      <w:pPr>
        <w:pStyle w:val="BodyText"/>
        <w:spacing w:line="216" w:lineRule="auto" w:before="13"/>
        <w:ind w:left="139" w:right="717"/>
        <w:jc w:val="both"/>
      </w:pPr>
      <w:r>
        <w:rPr>
          <w:w w:val="95"/>
        </w:rPr>
        <w:t>A corto plazo, ensayo controlado con placebo de ABILIFY Mantenim en adultos con esquizofrenia, la incidencia de neutropenia (recuento absoluto de neutrófilos ≤1.5 Cerdocyon / l) para los pacientes tratados con Mantenim ABILIFY fue de 5,7% frente a 2,1% para el placebo. En absoluto</w:t>
      </w:r>
      <w:r>
        <w:rPr/>
        <w:t>recuento de neutrófilos de &lt;1 Cerdocyon / l (es decir, 0,95 Cerdocyon / l) se observó en sólo un paciente en ABILIFY Mantenim y se resolvieron espontáneamente sin cualquier evento adverso asociado [ver Advertencias y precauciones (5.9)].</w:t>
      </w:r>
    </w:p>
    <w:p>
      <w:pPr>
        <w:spacing w:before="24"/>
        <w:ind w:left="139" w:right="0" w:firstLine="0"/>
        <w:jc w:val="both"/>
        <w:rPr>
          <w:i/>
          <w:sz w:val="16"/>
        </w:rPr>
      </w:pPr>
      <w:r>
        <w:rPr>
          <w:i/>
          <w:sz w:val="16"/>
        </w:rPr>
        <w:t>Las reacciones adversas notificadas en los ensayos clínicos con aripiprazol oral</w:t>
      </w:r>
    </w:p>
    <w:p>
      <w:pPr>
        <w:pStyle w:val="BodyText"/>
        <w:spacing w:line="216" w:lineRule="auto" w:before="25"/>
        <w:ind w:left="139" w:right="718"/>
        <w:jc w:val="both"/>
      </w:pPr>
      <w:r>
        <w:rPr>
          <w:w w:val="95"/>
        </w:rPr>
        <w:t>La siguiente es una lista de reacciones adversas adicionales que han sido reportados en los ensayos clínicos con aripiprazol oral y no se informó anteriormente de aripiprazol Mantenim:</w:t>
      </w:r>
    </w:p>
    <w:p>
      <w:pPr>
        <w:pStyle w:val="BodyText"/>
        <w:spacing w:line="216" w:lineRule="auto" w:before="42"/>
        <w:ind w:left="139" w:right="718"/>
        <w:jc w:val="both"/>
      </w:pPr>
      <w:r>
        <w:rPr>
          <w:i/>
          <w:w w:val="90"/>
        </w:rPr>
        <w:t>Trastornos cardíacos: </w:t>
      </w:r>
      <w:r>
        <w:rPr>
          <w:w w:val="90"/>
        </w:rPr>
        <w:t>palpitaciones, insuficiencia cardiopulmonar, infarto de miocardio, paro respiratorio cardio-, bloqueo auriculoventricular, extrasístoles, angina de pecho, isquemia miocárdica, aleteo auricular, taquicardia supraventricular, taquicardia ventricular</w:t>
      </w:r>
    </w:p>
    <w:p>
      <w:pPr>
        <w:spacing w:before="12"/>
        <w:ind w:left="139" w:right="0" w:firstLine="0"/>
        <w:jc w:val="both"/>
        <w:rPr>
          <w:sz w:val="16"/>
        </w:rPr>
      </w:pPr>
      <w:r>
        <w:rPr>
          <w:i/>
          <w:sz w:val="16"/>
        </w:rPr>
        <w:t>Trastornos oculares: </w:t>
      </w:r>
      <w:r>
        <w:rPr>
          <w:sz w:val="16"/>
        </w:rPr>
        <w:t>fotofobia, diplopía, edema palpebral, fotopsia</w:t>
      </w:r>
    </w:p>
    <w:p>
      <w:pPr>
        <w:spacing w:line="216" w:lineRule="auto" w:before="24"/>
        <w:ind w:left="139" w:right="718" w:firstLine="0"/>
        <w:jc w:val="both"/>
        <w:rPr>
          <w:sz w:val="16"/>
        </w:rPr>
      </w:pPr>
      <w:r>
        <w:rPr>
          <w:i/>
          <w:w w:val="95"/>
          <w:sz w:val="16"/>
        </w:rPr>
        <w:t>Desórdenes gastrointestinales: </w:t>
      </w:r>
      <w:r>
        <w:rPr>
          <w:w w:val="95"/>
          <w:sz w:val="16"/>
        </w:rPr>
        <w:t>enfermedad de reflujo gastroesofágico, inflamación de la lengua, </w:t>
      </w:r>
      <w:r>
        <w:rPr>
          <w:sz w:val="16"/>
        </w:rPr>
        <w:t>esofagitis, pancreatitis, molestias estomacales, dolor de muelas</w:t>
      </w:r>
    </w:p>
    <w:p>
      <w:pPr>
        <w:spacing w:line="216" w:lineRule="auto" w:before="28"/>
        <w:ind w:left="139" w:right="718" w:firstLine="0"/>
        <w:jc w:val="both"/>
        <w:rPr>
          <w:sz w:val="16"/>
        </w:rPr>
      </w:pPr>
      <w:r>
        <w:rPr>
          <w:i/>
          <w:w w:val="90"/>
          <w:sz w:val="16"/>
        </w:rPr>
        <w:t>Desordenes generales y condiciones administrativas del sitio: </w:t>
      </w:r>
      <w:r>
        <w:rPr>
          <w:w w:val="90"/>
          <w:sz w:val="16"/>
        </w:rPr>
        <w:t>astenia, edema periférico, </w:t>
      </w:r>
      <w:r>
        <w:rPr>
          <w:sz w:val="16"/>
        </w:rPr>
        <w:t>dolor de pecho, edema facial, angioedema, hipotermia, dolor</w:t>
      </w:r>
    </w:p>
    <w:p>
      <w:pPr>
        <w:spacing w:before="13"/>
        <w:ind w:left="139" w:right="0" w:firstLine="0"/>
        <w:jc w:val="both"/>
        <w:rPr>
          <w:sz w:val="16"/>
        </w:rPr>
      </w:pPr>
      <w:r>
        <w:rPr>
          <w:i/>
          <w:sz w:val="16"/>
        </w:rPr>
        <w:t>Trastornos hepatobiliares: </w:t>
      </w:r>
      <w:r>
        <w:rPr>
          <w:sz w:val="16"/>
        </w:rPr>
        <w:t>hepatitis, ictericia</w:t>
      </w:r>
    </w:p>
    <w:p>
      <w:pPr>
        <w:spacing w:before="9"/>
        <w:ind w:left="139" w:right="0" w:firstLine="0"/>
        <w:jc w:val="both"/>
        <w:rPr>
          <w:sz w:val="16"/>
        </w:rPr>
      </w:pPr>
      <w:r>
        <w:rPr>
          <w:i/>
          <w:sz w:val="16"/>
        </w:rPr>
        <w:t>Trastornos del sistema inmunológico: </w:t>
      </w:r>
      <w:r>
        <w:rPr>
          <w:sz w:val="16"/>
        </w:rPr>
        <w:t>hipersensibilidad</w:t>
      </w:r>
    </w:p>
    <w:p>
      <w:pPr>
        <w:spacing w:before="10"/>
        <w:ind w:left="139" w:right="0" w:firstLine="0"/>
        <w:jc w:val="both"/>
        <w:rPr>
          <w:sz w:val="16"/>
        </w:rPr>
      </w:pPr>
      <w:r>
        <w:rPr>
          <w:i/>
          <w:sz w:val="16"/>
        </w:rPr>
        <w:t>Lesiones traumáticas, intoxicaciones y complicaciones de procedimientos terapéuticos: </w:t>
      </w:r>
      <w:r>
        <w:rPr>
          <w:sz w:val="16"/>
        </w:rPr>
        <w:t>golpe de calor</w:t>
      </w:r>
    </w:p>
    <w:p>
      <w:pPr>
        <w:pStyle w:val="BodyText"/>
        <w:spacing w:line="216" w:lineRule="auto" w:before="25"/>
        <w:ind w:left="139" w:right="715"/>
        <w:jc w:val="both"/>
      </w:pPr>
      <w:r>
        <w:rPr>
          <w:i/>
          <w:w w:val="95"/>
        </w:rPr>
        <w:t>investigaciones: </w:t>
      </w:r>
      <w:r>
        <w:rPr>
          <w:w w:val="95"/>
        </w:rPr>
        <w:t>prolactina en sangre aumenta, la urea en sangre aumentó, creatinina en sangre aumenta, la bilirrubina en sangre aumentó, lactato deshidrogenasa en sangre aumentó, </w:t>
      </w:r>
      <w:r>
        <w:rPr/>
        <w:t>hemoglobina glicosilada aumentó</w:t>
      </w:r>
    </w:p>
    <w:p>
      <w:pPr>
        <w:spacing w:line="216" w:lineRule="auto" w:before="27"/>
        <w:ind w:left="139" w:right="717" w:firstLine="0"/>
        <w:jc w:val="both"/>
        <w:rPr>
          <w:sz w:val="16"/>
        </w:rPr>
      </w:pPr>
      <w:r>
        <w:rPr>
          <w:i/>
          <w:w w:val="95"/>
          <w:sz w:val="16"/>
        </w:rPr>
        <w:t>Trastornos metabólicos y nutricionales: </w:t>
      </w:r>
      <w:r>
        <w:rPr>
          <w:w w:val="95"/>
          <w:sz w:val="16"/>
        </w:rPr>
        <w:t>la anorexia, la hiponatremia, hipoglucemia, </w:t>
      </w:r>
      <w:r>
        <w:rPr>
          <w:sz w:val="16"/>
        </w:rPr>
        <w:t>polidipsia, cetoacidosis diabética</w:t>
      </w:r>
    </w:p>
    <w:p>
      <w:pPr>
        <w:spacing w:line="216" w:lineRule="auto" w:before="27"/>
        <w:ind w:left="139" w:right="717" w:firstLine="0"/>
        <w:jc w:val="both"/>
        <w:rPr>
          <w:sz w:val="16"/>
        </w:rPr>
      </w:pPr>
      <w:r>
        <w:rPr>
          <w:i/>
          <w:w w:val="95"/>
          <w:sz w:val="16"/>
        </w:rPr>
        <w:t>Osteomuscular y del tejido conjuntivo Trastornos: </w:t>
      </w:r>
      <w:r>
        <w:rPr>
          <w:w w:val="95"/>
          <w:sz w:val="16"/>
        </w:rPr>
        <w:t>rigidez muscular, debilidad muscular, tensión muscular, disminución de la movilidad, rabdomiolisis, músculo-esquelético </w:t>
      </w:r>
      <w:r>
        <w:rPr>
          <w:sz w:val="16"/>
        </w:rPr>
        <w:t>rigidez, dolor en las extremidades, espasmos musculares</w:t>
      </w:r>
    </w:p>
    <w:p>
      <w:pPr>
        <w:pStyle w:val="BodyText"/>
        <w:spacing w:line="216" w:lineRule="auto" w:before="27"/>
        <w:ind w:left="139" w:right="717"/>
        <w:jc w:val="both"/>
      </w:pPr>
      <w:r>
        <w:rPr>
          <w:i/>
          <w:w w:val="90"/>
        </w:rPr>
        <w:t>Trastornos del sistema nervioso: </w:t>
      </w:r>
      <w:r>
        <w:rPr>
          <w:w w:val="90"/>
        </w:rPr>
        <w:t>coordinación anormal, trastorno del habla, hipocinesia, </w:t>
      </w:r>
      <w:r>
        <w:rPr/>
        <w:t>hipotonía, mioclono, acinesia, bradicinesia, coreoatetosis</w:t>
      </w:r>
    </w:p>
    <w:p>
      <w:pPr>
        <w:pStyle w:val="BodyText"/>
        <w:spacing w:line="216" w:lineRule="auto" w:before="28"/>
        <w:ind w:left="139" w:right="717"/>
        <w:jc w:val="both"/>
      </w:pPr>
      <w:r>
        <w:rPr>
          <w:i/>
          <w:w w:val="95"/>
        </w:rPr>
        <w:t>Desórdenes psiquiátricos: </w:t>
      </w:r>
      <w:r>
        <w:rPr>
          <w:w w:val="95"/>
        </w:rPr>
        <w:t>pérdida de la libido, intento de suicidio, hostilidad, aumento de la libido, la ira, la anorgasmia, el delirio, la autolesión intencional, suicidio completado, tic, homicida </w:t>
      </w:r>
      <w:r>
        <w:rPr/>
        <w:t>ideación, catatonia, sonambulismo</w:t>
      </w:r>
    </w:p>
    <w:p>
      <w:pPr>
        <w:spacing w:before="12"/>
        <w:ind w:left="139" w:right="0" w:firstLine="0"/>
        <w:jc w:val="both"/>
        <w:rPr>
          <w:sz w:val="16"/>
        </w:rPr>
      </w:pPr>
      <w:r>
        <w:rPr>
          <w:i/>
          <w:sz w:val="16"/>
        </w:rPr>
        <w:t>Trastornos renales y urinarios: </w:t>
      </w:r>
      <w:r>
        <w:rPr>
          <w:sz w:val="16"/>
        </w:rPr>
        <w:t>retención urinaria, poliuria, nocturia</w:t>
      </w:r>
    </w:p>
    <w:p>
      <w:pPr>
        <w:spacing w:line="216" w:lineRule="auto" w:before="25"/>
        <w:ind w:left="139" w:right="717" w:firstLine="0"/>
        <w:jc w:val="both"/>
        <w:rPr>
          <w:sz w:val="16"/>
        </w:rPr>
      </w:pPr>
      <w:r>
        <w:rPr>
          <w:i/>
          <w:w w:val="95"/>
          <w:sz w:val="16"/>
        </w:rPr>
        <w:t>Y de la mama Trastornos reproductivos: </w:t>
      </w:r>
      <w:r>
        <w:rPr>
          <w:w w:val="95"/>
          <w:sz w:val="16"/>
        </w:rPr>
        <w:t>menstruación irregular, eréctil </w:t>
      </w:r>
      <w:r>
        <w:rPr>
          <w:sz w:val="16"/>
        </w:rPr>
        <w:t>disfunción, amenorrea, dolor de pecho, ginecomastia, priapismo</w:t>
      </w:r>
    </w:p>
    <w:p>
      <w:pPr>
        <w:spacing w:line="216" w:lineRule="auto" w:before="27"/>
        <w:ind w:left="139" w:right="718" w:firstLine="0"/>
        <w:jc w:val="both"/>
        <w:rPr>
          <w:sz w:val="16"/>
        </w:rPr>
      </w:pPr>
      <w:r>
        <w:rPr>
          <w:i/>
          <w:w w:val="95"/>
          <w:sz w:val="16"/>
        </w:rPr>
        <w:t>Respiratorios, torácicos y mediastínicos: </w:t>
      </w:r>
      <w:r>
        <w:rPr>
          <w:w w:val="95"/>
          <w:sz w:val="16"/>
        </w:rPr>
        <w:t>congestión nasal, disnea, </w:t>
      </w:r>
      <w:r>
        <w:rPr>
          <w:sz w:val="16"/>
        </w:rPr>
        <w:t>dolor faringolaríngeo, tos</w:t>
      </w:r>
    </w:p>
    <w:p>
      <w:pPr>
        <w:pStyle w:val="BodyText"/>
        <w:spacing w:line="216" w:lineRule="auto" w:before="28"/>
        <w:ind w:left="139" w:right="717"/>
        <w:jc w:val="both"/>
      </w:pPr>
      <w:r>
        <w:rPr>
          <w:i/>
          <w:w w:val="90"/>
        </w:rPr>
        <w:t>De la piel y del tejido subcutáneo: </w:t>
      </w:r>
      <w:r>
        <w:rPr>
          <w:w w:val="90"/>
        </w:rPr>
        <w:t>erupción cutánea (incluyendo eritematosa, exfoliativa, generalizada, macular, maculopapular, erupción papular; acneiforme, alérgica, contacto,, dermatitis seborreica exfoliativa, neurodermatitis, y erupción de drogas), hiperhidrosis, </w:t>
      </w:r>
      <w:r>
        <w:rPr/>
        <w:t>prurito, reacción de fotosensibilidad, alopecia, urticaria</w:t>
      </w:r>
    </w:p>
    <w:p>
      <w:pPr>
        <w:pStyle w:val="Heading3"/>
        <w:numPr>
          <w:ilvl w:val="1"/>
          <w:numId w:val="11"/>
        </w:numPr>
        <w:tabs>
          <w:tab w:pos="560" w:val="left" w:leader="none"/>
        </w:tabs>
        <w:spacing w:line="182" w:lineRule="exact" w:before="40" w:after="0"/>
        <w:ind w:left="559" w:right="0" w:hanging="420"/>
        <w:jc w:val="both"/>
      </w:pPr>
      <w:r>
        <w:rPr>
          <w:w w:val="95"/>
        </w:rPr>
        <w:t>La experiencia posterior a la comercialización</w:t>
      </w:r>
    </w:p>
    <w:p>
      <w:pPr>
        <w:pStyle w:val="BodyText"/>
        <w:spacing w:line="216" w:lineRule="auto" w:before="12"/>
        <w:ind w:left="139" w:right="717"/>
        <w:jc w:val="both"/>
      </w:pPr>
      <w:r>
        <w:rPr>
          <w:w w:val="90"/>
        </w:rPr>
        <w:t>Las siguientes reacciones adversas han sido identificadas durante el uso posterior a la aprobación de aripiprazol oral o ABILIFY Mantenim. Debido a que estas reacciones se reportan voluntariamente</w:t>
      </w:r>
      <w:r>
        <w:rPr/>
        <w:t>de una población de tamaño incierto, no siempre es posible estimar de forma fiable su frecuencia o establecer una relación causal con la exposición al fármaco: ocurrencias de reacción alérgica (reacción anafiláctica, angioedema, laringoespasmo, prurito / urticaria, o espasmo orofaríngeo), juego patológico, hipo y las fluctuaciones de glucosa en sangre.</w:t>
      </w:r>
    </w:p>
    <w:p>
      <w:pPr>
        <w:spacing w:after="0" w:line="216" w:lineRule="auto"/>
        <w:jc w:val="both"/>
        <w:sectPr>
          <w:pgSz w:w="12240" w:h="15840"/>
          <w:pgMar w:header="676" w:footer="367" w:top="860" w:bottom="640" w:left="580" w:right="0"/>
          <w:cols w:num="2" w:equalWidth="0">
            <w:col w:w="5463" w:space="58"/>
            <w:col w:w="6139"/>
          </w:cols>
        </w:sectPr>
      </w:pPr>
    </w:p>
    <w:p>
      <w:pPr>
        <w:pStyle w:val="Heading3"/>
        <w:numPr>
          <w:ilvl w:val="0"/>
          <w:numId w:val="11"/>
        </w:numPr>
        <w:tabs>
          <w:tab w:pos="560" w:val="left" w:leader="none"/>
        </w:tabs>
        <w:spacing w:line="240" w:lineRule="auto" w:before="166" w:after="0"/>
        <w:ind w:left="560" w:right="0" w:hanging="420"/>
        <w:jc w:val="both"/>
      </w:pPr>
      <w:r>
        <w:rPr>
          <w:w w:val="95"/>
        </w:rPr>
        <w:t>INTERACCIONES CON LA DROGAS</w:t>
      </w:r>
    </w:p>
    <w:p>
      <w:pPr>
        <w:pStyle w:val="ListParagraph"/>
        <w:numPr>
          <w:ilvl w:val="1"/>
          <w:numId w:val="11"/>
        </w:numPr>
        <w:tabs>
          <w:tab w:pos="559" w:val="left" w:leader="none"/>
          <w:tab w:pos="560" w:val="left" w:leader="none"/>
        </w:tabs>
        <w:spacing w:line="304" w:lineRule="auto" w:before="36" w:after="0"/>
        <w:ind w:left="140" w:right="272" w:firstLine="0"/>
        <w:jc w:val="left"/>
        <w:rPr>
          <w:b/>
          <w:sz w:val="16"/>
        </w:rPr>
      </w:pPr>
      <w:r>
        <w:rPr>
          <w:b/>
          <w:w w:val="85"/>
          <w:sz w:val="16"/>
        </w:rPr>
        <w:t>Fármacos que tienen interacciones clínicamente importantes con ABILIFY Mantenim Tabla 8: interacciones clínicamente importantes con ABILIFY Mantenim:</w:t>
      </w: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70"/>
        <w:gridCol w:w="2070"/>
        <w:gridCol w:w="2016"/>
      </w:tblGrid>
      <w:tr>
        <w:trPr>
          <w:trHeight w:val="550" w:hRule="atLeast"/>
        </w:trPr>
        <w:tc>
          <w:tcPr>
            <w:tcW w:w="1170" w:type="dxa"/>
            <w:shd w:val="clear" w:color="auto" w:fill="DFDFDF"/>
          </w:tcPr>
          <w:p>
            <w:pPr>
              <w:pStyle w:val="TableParagraph"/>
              <w:spacing w:line="220" w:lineRule="auto" w:before="21"/>
              <w:ind w:left="153" w:right="135" w:hanging="1"/>
              <w:jc w:val="center"/>
              <w:rPr>
                <w:b/>
                <w:sz w:val="16"/>
              </w:rPr>
            </w:pPr>
            <w:r>
              <w:rPr>
                <w:b/>
                <w:spacing w:val="-4"/>
                <w:w w:val="85"/>
                <w:sz w:val="16"/>
              </w:rPr>
              <w:t>Nombre del fármaco concomitante o del tipo de droga</w:t>
            </w:r>
          </w:p>
        </w:tc>
        <w:tc>
          <w:tcPr>
            <w:tcW w:w="2070" w:type="dxa"/>
            <w:shd w:val="clear" w:color="auto" w:fill="DFDFDF"/>
          </w:tcPr>
          <w:p>
            <w:pPr>
              <w:pStyle w:val="TableParagraph"/>
              <w:spacing w:before="179"/>
              <w:ind w:left="484"/>
              <w:rPr>
                <w:b/>
                <w:sz w:val="16"/>
              </w:rPr>
            </w:pPr>
            <w:r>
              <w:rPr>
                <w:b/>
                <w:sz w:val="16"/>
              </w:rPr>
              <w:t>Fundamento clínica</w:t>
            </w:r>
          </w:p>
        </w:tc>
        <w:tc>
          <w:tcPr>
            <w:tcW w:w="2016" w:type="dxa"/>
            <w:shd w:val="clear" w:color="auto" w:fill="DFDFDF"/>
          </w:tcPr>
          <w:p>
            <w:pPr>
              <w:pStyle w:val="TableParagraph"/>
              <w:spacing w:before="179"/>
              <w:ind w:left="209"/>
              <w:rPr>
                <w:b/>
                <w:sz w:val="16"/>
              </w:rPr>
            </w:pPr>
            <w:r>
              <w:rPr>
                <w:b/>
                <w:w w:val="90"/>
                <w:sz w:val="16"/>
              </w:rPr>
              <w:t>Recomendación clínica</w:t>
            </w:r>
          </w:p>
        </w:tc>
      </w:tr>
      <w:tr>
        <w:trPr>
          <w:trHeight w:val="1414" w:hRule="atLeast"/>
        </w:trPr>
        <w:tc>
          <w:tcPr>
            <w:tcW w:w="1170" w:type="dxa"/>
          </w:tcPr>
          <w:p>
            <w:pPr>
              <w:pStyle w:val="TableParagraph"/>
              <w:spacing w:line="220" w:lineRule="auto" w:before="113"/>
              <w:ind w:left="79" w:right="68"/>
              <w:rPr>
                <w:sz w:val="16"/>
              </w:rPr>
            </w:pPr>
            <w:r>
              <w:rPr>
                <w:spacing w:val="-4"/>
                <w:w w:val="90"/>
                <w:sz w:val="16"/>
              </w:rPr>
              <w:t>Inhibidores potentes de CYP3A4 (por ejemplo, ketoconazol) o fuerte CYP2D6 </w:t>
            </w:r>
            <w:r>
              <w:rPr>
                <w:spacing w:val="-4"/>
                <w:sz w:val="16"/>
              </w:rPr>
              <w:t>inhibidores (por ejemplo, paroxetina, fluoxetina)</w:t>
            </w:r>
          </w:p>
        </w:tc>
        <w:tc>
          <w:tcPr>
            <w:tcW w:w="2070" w:type="dxa"/>
          </w:tcPr>
          <w:p>
            <w:pPr>
              <w:pStyle w:val="TableParagraph"/>
              <w:spacing w:before="2"/>
              <w:rPr>
                <w:b/>
                <w:sz w:val="17"/>
              </w:rPr>
            </w:pPr>
          </w:p>
          <w:p>
            <w:pPr>
              <w:pStyle w:val="TableParagraph"/>
              <w:spacing w:line="220" w:lineRule="auto"/>
              <w:ind w:left="79"/>
              <w:rPr>
                <w:sz w:val="16"/>
              </w:rPr>
            </w:pPr>
            <w:r>
              <w:rPr>
                <w:spacing w:val="-3"/>
                <w:w w:val="95"/>
                <w:sz w:val="16"/>
              </w:rPr>
              <w:t>El uso concomitante </w:t>
            </w:r>
            <w:r>
              <w:rPr>
                <w:w w:val="95"/>
                <w:sz w:val="16"/>
              </w:rPr>
              <w:t>de orales </w:t>
            </w:r>
            <w:r>
              <w:rPr>
                <w:spacing w:val="-4"/>
                <w:sz w:val="16"/>
              </w:rPr>
              <w:t>aripiprazol con una fuerte CYP3A4 </w:t>
            </w:r>
            <w:r>
              <w:rPr>
                <w:w w:val="90"/>
                <w:sz w:val="16"/>
              </w:rPr>
              <w:t>inhibidores o CYP2D6 </w:t>
            </w:r>
            <w:r>
              <w:rPr>
                <w:spacing w:val="-4"/>
                <w:sz w:val="16"/>
              </w:rPr>
              <w:t>aumento de la exposición de aripiprazol [ver Farmacología clínica (12.3)].</w:t>
            </w:r>
          </w:p>
        </w:tc>
        <w:tc>
          <w:tcPr>
            <w:tcW w:w="2016" w:type="dxa"/>
          </w:tcPr>
          <w:p>
            <w:pPr>
              <w:pStyle w:val="TableParagraph"/>
              <w:spacing w:line="220" w:lineRule="auto" w:before="27"/>
              <w:ind w:left="79" w:right="346"/>
              <w:rPr>
                <w:sz w:val="16"/>
              </w:rPr>
            </w:pPr>
            <w:r>
              <w:rPr>
                <w:w w:val="95"/>
                <w:sz w:val="16"/>
              </w:rPr>
              <w:t>Con el uso concomitante de aripiprazol con Mantenim</w:t>
            </w:r>
          </w:p>
          <w:p>
            <w:pPr>
              <w:pStyle w:val="TableParagraph"/>
              <w:spacing w:line="220" w:lineRule="auto" w:before="2"/>
              <w:ind w:left="79" w:right="217"/>
              <w:rPr>
                <w:sz w:val="16"/>
              </w:rPr>
            </w:pPr>
            <w:r>
              <w:rPr>
                <w:w w:val="95"/>
                <w:sz w:val="16"/>
              </w:rPr>
              <w:t>un fuerte inhibidor de CYP3A4 o CYP2D6 inhibidor durante más de 14 días, reducir el ABILIFY Mantenim</w:t>
            </w:r>
          </w:p>
          <w:p>
            <w:pPr>
              <w:pStyle w:val="TableParagraph"/>
              <w:spacing w:line="220" w:lineRule="auto" w:before="2"/>
              <w:ind w:left="79" w:right="295"/>
              <w:rPr>
                <w:sz w:val="16"/>
              </w:rPr>
            </w:pPr>
            <w:r>
              <w:rPr>
                <w:w w:val="90"/>
                <w:sz w:val="16"/>
              </w:rPr>
              <w:t>dosis [ver Dosis y </w:t>
            </w:r>
            <w:r>
              <w:rPr>
                <w:i/>
                <w:sz w:val="16"/>
              </w:rPr>
              <w:t>Administración (2.3)]</w:t>
            </w:r>
            <w:r>
              <w:rPr>
                <w:sz w:val="16"/>
              </w:rPr>
              <w:t>.</w:t>
            </w:r>
          </w:p>
        </w:tc>
      </w:tr>
      <w:tr>
        <w:trPr>
          <w:trHeight w:val="1074" w:hRule="atLeast"/>
        </w:trPr>
        <w:tc>
          <w:tcPr>
            <w:tcW w:w="1170" w:type="dxa"/>
          </w:tcPr>
          <w:p>
            <w:pPr>
              <w:pStyle w:val="TableParagraph"/>
              <w:spacing w:before="6"/>
              <w:rPr>
                <w:b/>
                <w:sz w:val="24"/>
              </w:rPr>
            </w:pPr>
          </w:p>
          <w:p>
            <w:pPr>
              <w:pStyle w:val="TableParagraph"/>
              <w:spacing w:line="220" w:lineRule="auto"/>
              <w:ind w:left="79" w:right="68"/>
              <w:rPr>
                <w:sz w:val="16"/>
              </w:rPr>
            </w:pPr>
            <w:r>
              <w:rPr>
                <w:w w:val="85"/>
                <w:sz w:val="16"/>
              </w:rPr>
              <w:t>Los inductores potentes de CYP3A4 (por ejemplo, carbamazepina)</w:t>
            </w:r>
          </w:p>
        </w:tc>
        <w:tc>
          <w:tcPr>
            <w:tcW w:w="2070" w:type="dxa"/>
          </w:tcPr>
          <w:p>
            <w:pPr>
              <w:pStyle w:val="TableParagraph"/>
              <w:spacing w:line="220" w:lineRule="auto" w:before="112"/>
              <w:ind w:left="79" w:right="43"/>
              <w:rPr>
                <w:sz w:val="16"/>
              </w:rPr>
            </w:pPr>
            <w:r>
              <w:rPr>
                <w:spacing w:val="-3"/>
                <w:sz w:val="16"/>
              </w:rPr>
              <w:t>El uso concomitante </w:t>
            </w:r>
            <w:r>
              <w:rPr>
                <w:sz w:val="16"/>
              </w:rPr>
              <w:t>de aripiprazol oral y carbamazepina disminuyó la exposición de aripiprazol [ver Farmacología clínica (12.3)].</w:t>
            </w:r>
          </w:p>
        </w:tc>
        <w:tc>
          <w:tcPr>
            <w:tcW w:w="2016" w:type="dxa"/>
          </w:tcPr>
          <w:p>
            <w:pPr>
              <w:pStyle w:val="TableParagraph"/>
              <w:spacing w:line="220" w:lineRule="auto" w:before="26"/>
              <w:ind w:left="79" w:right="13"/>
              <w:rPr>
                <w:i/>
                <w:sz w:val="16"/>
              </w:rPr>
            </w:pPr>
            <w:r>
              <w:rPr>
                <w:spacing w:val="-4"/>
                <w:sz w:val="16"/>
              </w:rPr>
              <w:t>Evitar el uso </w:t>
            </w:r>
            <w:r>
              <w:rPr>
                <w:sz w:val="16"/>
              </w:rPr>
              <w:t>de ABILIFY Mantenim en combinación con carbamazepina y otros inductores de CYP3A4 para más de 14 días [ver Dosificación y administración (2.3)].</w:t>
            </w:r>
          </w:p>
        </w:tc>
      </w:tr>
      <w:tr>
        <w:trPr>
          <w:trHeight w:val="904" w:hRule="atLeast"/>
        </w:trPr>
        <w:tc>
          <w:tcPr>
            <w:tcW w:w="1170" w:type="dxa"/>
          </w:tcPr>
          <w:p>
            <w:pPr>
              <w:pStyle w:val="TableParagraph"/>
              <w:spacing w:before="5"/>
              <w:rPr>
                <w:b/>
                <w:sz w:val="24"/>
              </w:rPr>
            </w:pPr>
          </w:p>
          <w:p>
            <w:pPr>
              <w:pStyle w:val="TableParagraph"/>
              <w:spacing w:line="220" w:lineRule="auto"/>
              <w:ind w:left="79"/>
              <w:rPr>
                <w:sz w:val="16"/>
              </w:rPr>
            </w:pPr>
            <w:r>
              <w:rPr>
                <w:w w:val="85"/>
                <w:sz w:val="16"/>
              </w:rPr>
              <w:t>antihipertensivo </w:t>
            </w:r>
            <w:r>
              <w:rPr>
                <w:sz w:val="16"/>
              </w:rPr>
              <w:t>drogas</w:t>
            </w:r>
          </w:p>
        </w:tc>
        <w:tc>
          <w:tcPr>
            <w:tcW w:w="2070" w:type="dxa"/>
          </w:tcPr>
          <w:p>
            <w:pPr>
              <w:pStyle w:val="TableParagraph"/>
              <w:spacing w:line="220" w:lineRule="auto" w:before="26"/>
              <w:ind w:left="79" w:right="207"/>
              <w:rPr>
                <w:sz w:val="16"/>
              </w:rPr>
            </w:pPr>
            <w:r>
              <w:rPr>
                <w:spacing w:val="-3"/>
                <w:w w:val="90"/>
                <w:sz w:val="16"/>
              </w:rPr>
              <w:t>Debido </w:t>
            </w:r>
            <w:r>
              <w:rPr>
                <w:w w:val="90"/>
                <w:sz w:val="16"/>
              </w:rPr>
              <w:t>a su antagonismo alfa adrenérgico, aripiprazol tiene el potencial de mejorar </w:t>
            </w:r>
            <w:r>
              <w:rPr>
                <w:spacing w:val="-3"/>
                <w:sz w:val="16"/>
              </w:rPr>
              <w:t>el efecto </w:t>
            </w:r>
            <w:r>
              <w:rPr>
                <w:sz w:val="16"/>
              </w:rPr>
              <w:t>de ciertos agentes antihipertensivos.</w:t>
            </w:r>
          </w:p>
        </w:tc>
        <w:tc>
          <w:tcPr>
            <w:tcW w:w="2016" w:type="dxa"/>
          </w:tcPr>
          <w:p>
            <w:pPr>
              <w:pStyle w:val="TableParagraph"/>
              <w:spacing w:line="220" w:lineRule="auto" w:before="111"/>
              <w:ind w:left="79" w:right="168"/>
              <w:rPr>
                <w:i/>
                <w:sz w:val="16"/>
              </w:rPr>
            </w:pPr>
            <w:r>
              <w:rPr>
                <w:spacing w:val="-4"/>
                <w:w w:val="95"/>
                <w:sz w:val="16"/>
              </w:rPr>
              <w:t>Vigilar la presión arterial y </w:t>
            </w:r>
            <w:r>
              <w:rPr>
                <w:spacing w:val="-4"/>
                <w:sz w:val="16"/>
              </w:rPr>
              <w:t>Ajustar la dosis en consecuencia [ver </w:t>
            </w:r>
            <w:r>
              <w:rPr>
                <w:i/>
                <w:sz w:val="16"/>
              </w:rPr>
              <w:t>Advertencias y precauciones (5.7)].</w:t>
            </w:r>
          </w:p>
        </w:tc>
      </w:tr>
      <w:tr>
        <w:trPr>
          <w:trHeight w:val="1924" w:hRule="atLeast"/>
        </w:trPr>
        <w:tc>
          <w:tcPr>
            <w:tcW w:w="1170" w:type="dxa"/>
          </w:tcPr>
          <w:p>
            <w:pPr>
              <w:pStyle w:val="TableParagraph"/>
              <w:rPr>
                <w:b/>
                <w:sz w:val="20"/>
              </w:rPr>
            </w:pPr>
          </w:p>
          <w:p>
            <w:pPr>
              <w:pStyle w:val="TableParagraph"/>
              <w:rPr>
                <w:b/>
                <w:sz w:val="20"/>
              </w:rPr>
            </w:pPr>
          </w:p>
          <w:p>
            <w:pPr>
              <w:pStyle w:val="TableParagraph"/>
              <w:spacing w:before="8"/>
              <w:rPr>
                <w:b/>
                <w:sz w:val="28"/>
              </w:rPr>
            </w:pPr>
          </w:p>
          <w:p>
            <w:pPr>
              <w:pStyle w:val="TableParagraph"/>
              <w:spacing w:line="220" w:lineRule="auto"/>
              <w:ind w:left="79" w:right="50"/>
              <w:rPr>
                <w:sz w:val="16"/>
              </w:rPr>
            </w:pPr>
            <w:r>
              <w:rPr>
                <w:spacing w:val="-4"/>
                <w:w w:val="85"/>
                <w:sz w:val="16"/>
              </w:rPr>
              <w:t>Benzodiazepinas (por ejemplo, lorazepam)</w:t>
            </w:r>
          </w:p>
        </w:tc>
        <w:tc>
          <w:tcPr>
            <w:tcW w:w="2070" w:type="dxa"/>
          </w:tcPr>
          <w:p>
            <w:pPr>
              <w:pStyle w:val="TableParagraph"/>
              <w:spacing w:line="220" w:lineRule="auto" w:before="25"/>
              <w:ind w:left="79" w:right="101"/>
              <w:rPr>
                <w:i/>
                <w:sz w:val="16"/>
              </w:rPr>
            </w:pPr>
            <w:r>
              <w:rPr>
                <w:spacing w:val="-3"/>
                <w:w w:val="95"/>
                <w:sz w:val="16"/>
              </w:rPr>
              <w:t>La intensidad </w:t>
            </w:r>
            <w:r>
              <w:rPr>
                <w:w w:val="95"/>
                <w:sz w:val="16"/>
              </w:rPr>
              <w:t>de la sedación fue mayor con la combinación de aripiprazol oral y lorazepam en comparación a la observada </w:t>
            </w:r>
            <w:r>
              <w:rPr>
                <w:spacing w:val="-3"/>
                <w:sz w:val="16"/>
              </w:rPr>
              <w:t>con solo aripiprazol. La hipotensión ortostática observado fue mayor con la combinación</w:t>
            </w:r>
            <w:r>
              <w:rPr>
                <w:w w:val="95"/>
                <w:sz w:val="16"/>
              </w:rPr>
              <w:t>en comparación a la observada con lorazepam </w:t>
            </w:r>
            <w:r>
              <w:rPr>
                <w:spacing w:val="-4"/>
                <w:sz w:val="16"/>
              </w:rPr>
              <w:t>solo [véase </w:t>
            </w:r>
            <w:r>
              <w:rPr>
                <w:i/>
                <w:sz w:val="16"/>
              </w:rPr>
              <w:t>Advertencias y precauciones (5.7)].</w:t>
            </w:r>
          </w:p>
        </w:tc>
        <w:tc>
          <w:tcPr>
            <w:tcW w:w="2016" w:type="dxa"/>
          </w:tcPr>
          <w:p>
            <w:pPr>
              <w:pStyle w:val="TableParagraph"/>
              <w:rPr>
                <w:b/>
                <w:sz w:val="20"/>
              </w:rPr>
            </w:pPr>
          </w:p>
          <w:p>
            <w:pPr>
              <w:pStyle w:val="TableParagraph"/>
              <w:rPr>
                <w:b/>
                <w:sz w:val="20"/>
              </w:rPr>
            </w:pPr>
          </w:p>
          <w:p>
            <w:pPr>
              <w:pStyle w:val="TableParagraph"/>
              <w:spacing w:before="3"/>
              <w:rPr>
                <w:b/>
                <w:sz w:val="21"/>
              </w:rPr>
            </w:pPr>
          </w:p>
          <w:p>
            <w:pPr>
              <w:pStyle w:val="TableParagraph"/>
              <w:spacing w:line="220" w:lineRule="auto"/>
              <w:ind w:left="79" w:right="274"/>
              <w:rPr>
                <w:sz w:val="16"/>
              </w:rPr>
            </w:pPr>
            <w:r>
              <w:rPr>
                <w:spacing w:val="-4"/>
                <w:w w:val="90"/>
                <w:sz w:val="16"/>
              </w:rPr>
              <w:t>Monitorear la sedación y la sangre </w:t>
            </w:r>
            <w:r>
              <w:rPr>
                <w:spacing w:val="-4"/>
                <w:sz w:val="16"/>
              </w:rPr>
              <w:t>presión. Ajustar la dosis en consecuencia.</w:t>
            </w:r>
          </w:p>
        </w:tc>
      </w:tr>
    </w:tbl>
    <w:p>
      <w:pPr>
        <w:pStyle w:val="ListParagraph"/>
        <w:numPr>
          <w:ilvl w:val="1"/>
          <w:numId w:val="11"/>
        </w:numPr>
        <w:tabs>
          <w:tab w:pos="560" w:val="left" w:leader="none"/>
        </w:tabs>
        <w:spacing w:line="220" w:lineRule="auto" w:before="120" w:after="0"/>
        <w:ind w:left="139" w:right="38" w:firstLine="0"/>
        <w:jc w:val="both"/>
        <w:rPr>
          <w:i/>
          <w:sz w:val="16"/>
        </w:rPr>
      </w:pPr>
      <w:r>
        <w:rPr>
          <w:b/>
          <w:w w:val="85"/>
          <w:sz w:val="16"/>
        </w:rPr>
        <w:t>Fármacos que tienen interacciones clínicamente importantes con ABILIFY Mantenim </w:t>
      </w:r>
      <w:r>
        <w:rPr>
          <w:w w:val="95"/>
          <w:sz w:val="16"/>
        </w:rPr>
        <w:t>Con base en estudios farmacocinéticos con aripiprazol oral, no se requiere un ajuste de dosis de ABILIFY Mantenim cuando se administra concomitantemente con famotidina, </w:t>
      </w:r>
      <w:r>
        <w:rPr>
          <w:sz w:val="16"/>
        </w:rPr>
        <w:t>valproato, litio, lorazepam [ver Farmacología clínica (12.3)].</w:t>
      </w:r>
    </w:p>
    <w:p>
      <w:pPr>
        <w:pStyle w:val="BodyText"/>
        <w:spacing w:line="216" w:lineRule="auto" w:before="29"/>
        <w:ind w:left="139" w:right="39"/>
        <w:jc w:val="both"/>
      </w:pPr>
      <w:r>
        <w:rPr>
          <w:w w:val="95"/>
        </w:rPr>
        <w:t>Además, ningún ajuste de la dosis es necesaria para sustratos de CYP2D6 (por ejemplo, dextrometorfano, fluoxetina, paroxetina, o venlafaxina), CYP2C9 (por ejemplo, warfarina), CYP2C19 (por ejemplo, omeprazol, warfarina), o CYP3A4 (por ejemplo, dextrometorfano) cuando co administrados por la OMPI con ABILIFY Mantenim. Además, ningún ajuste de la dosis es necesaria para valproato, litio, lamotrigina, lorazepam, o sertralina cuando se co-administra con ABILIFY Mantenim. [Ver Farmacología clínica (12.3)].</w:t>
      </w:r>
    </w:p>
    <w:p>
      <w:pPr>
        <w:pStyle w:val="Heading3"/>
        <w:numPr>
          <w:ilvl w:val="0"/>
          <w:numId w:val="11"/>
        </w:numPr>
        <w:tabs>
          <w:tab w:pos="558" w:val="left" w:leader="none"/>
        </w:tabs>
        <w:spacing w:line="240" w:lineRule="auto" w:before="53" w:after="0"/>
        <w:ind w:left="557" w:right="0" w:hanging="418"/>
        <w:jc w:val="both"/>
      </w:pPr>
      <w:r>
        <w:rPr>
          <w:w w:val="95"/>
        </w:rPr>
        <w:t>USO EN POBLACIONES ESPECÍFICAS</w:t>
      </w:r>
    </w:p>
    <w:p>
      <w:pPr>
        <w:pStyle w:val="ListParagraph"/>
        <w:numPr>
          <w:ilvl w:val="1"/>
          <w:numId w:val="11"/>
        </w:numPr>
        <w:tabs>
          <w:tab w:pos="560" w:val="left" w:leader="none"/>
        </w:tabs>
        <w:spacing w:line="240" w:lineRule="auto" w:before="24" w:after="0"/>
        <w:ind w:left="559" w:right="0" w:hanging="420"/>
        <w:jc w:val="both"/>
        <w:rPr>
          <w:b/>
          <w:sz w:val="16"/>
        </w:rPr>
      </w:pPr>
      <w:r>
        <w:rPr>
          <w:b/>
          <w:w w:val="95"/>
          <w:sz w:val="16"/>
        </w:rPr>
        <w:t>El embarazo</w:t>
      </w:r>
    </w:p>
    <w:p>
      <w:pPr>
        <w:spacing w:line="182" w:lineRule="exact" w:before="24"/>
        <w:ind w:left="139" w:right="0" w:firstLine="0"/>
        <w:jc w:val="both"/>
        <w:rPr>
          <w:b/>
          <w:sz w:val="16"/>
        </w:rPr>
      </w:pPr>
      <w:r>
        <w:rPr>
          <w:b/>
          <w:w w:val="95"/>
          <w:sz w:val="16"/>
        </w:rPr>
        <w:t>Registro de embarazo exposición</w:t>
      </w:r>
    </w:p>
    <w:p>
      <w:pPr>
        <w:pStyle w:val="BodyText"/>
        <w:spacing w:line="216" w:lineRule="auto" w:before="13"/>
        <w:ind w:left="139" w:right="39"/>
        <w:jc w:val="both"/>
      </w:pPr>
      <w:r>
        <w:rPr/>
        <w:t>Existe un registro de exposición durante el embarazo que monitorea los resultados del embarazo en mujeres expuestas a ABILIFY durante el embarazo. Para más información ponerse en contacto con el Registro Nacional de embarazo por antipsicóticos atípicos en el 1-866-961-2388 o visita</w:t>
      </w:r>
      <w:hyperlink r:id="rId28">
        <w:r>
          <w:rPr>
            <w:w w:val="90"/>
          </w:rPr>
          <w:t>http://womensmentalhealth.org/clinical-and-research-programs/pregnancyregistry/.</w:t>
        </w:r>
      </w:hyperlink>
    </w:p>
    <w:p>
      <w:pPr>
        <w:pStyle w:val="Heading3"/>
        <w:spacing w:line="182" w:lineRule="exact" w:before="26"/>
        <w:ind w:left="139"/>
        <w:jc w:val="both"/>
      </w:pPr>
      <w:r>
        <w:rPr>
          <w:w w:val="95"/>
        </w:rPr>
        <w:t>Resumen de riesgos</w:t>
      </w:r>
    </w:p>
    <w:p>
      <w:pPr>
        <w:pStyle w:val="BodyText"/>
        <w:spacing w:line="216" w:lineRule="auto" w:before="12"/>
        <w:ind w:left="139" w:right="39"/>
        <w:jc w:val="both"/>
      </w:pPr>
      <w:r>
        <w:rPr>
          <w:w w:val="95"/>
        </w:rPr>
        <w:t>Los recién nacidos expuestos a los fármacos antipsicóticos, incluyendo ABILIFY Mantenim, durante el tercer trimestre del embarazo están en riesgo de síntomas extrapiramidales y / o abstinencia. No hay datos suficientes con el uso ABILIFY Mantenim en mujeres embarazadas para informar a un riesgo asociado con las drogas. En estudios de reproducción animal, la administración de aripiprazol oral e intravenosa durante la organogénesis en ratas y / o conejos a dosis de 10 y 11 veces, respectivamente, la dosis máxima recomendada en humanos (MRHD) produjo la muerte fetal, disminución del peso fetal, testículos no descendidos, retrasa la osificación esquelética, anomalías esqueléticas, y hernia diafragmática. administración aripiprazol oral e intravenosa durante el período pre- y post-natal en ratas a dosis 10 veces la dosis máxima recomendada en humanos (MRHD) produjo gestación prolongada, mortinatos, disminución de peso de las crías, y disminución de la supervivencia de las crías. Considere los beneficios y riesgos de ABILIFY Mantenim y los posibles riesgos para el feto cuando se prescribe ABILIFY Mantenim a una mujer embarazada. Aconsejar a las mujeres embarazadas</w:t>
      </w:r>
      <w:r>
        <w:rPr/>
        <w:t>del potencial riesgo para el feto.</w:t>
      </w:r>
    </w:p>
    <w:p>
      <w:pPr>
        <w:pStyle w:val="BodyText"/>
        <w:spacing w:line="216" w:lineRule="auto" w:before="20"/>
        <w:ind w:left="139" w:right="38"/>
        <w:jc w:val="both"/>
      </w:pPr>
      <w:r>
        <w:rPr/>
        <w:t>El riesgo de fondo de los principales defectos de nacimiento y aborto involuntario de la población indicada son desconocidos. En la población general de Estados Unidos, el riesgo estimado de fondo de los principales defectos de nacimiento y aborto involuntario en los embarazos clínicamente reconocidos es de 2-4% y 15-20%, respectivamente.</w:t>
      </w:r>
    </w:p>
    <w:p>
      <w:pPr>
        <w:pStyle w:val="Heading3"/>
        <w:spacing w:before="26"/>
        <w:ind w:left="139"/>
        <w:jc w:val="both"/>
      </w:pPr>
      <w:r>
        <w:rPr>
          <w:w w:val="95"/>
        </w:rPr>
        <w:t>Consideraciones clínicas</w:t>
      </w:r>
    </w:p>
    <w:p>
      <w:pPr>
        <w:pStyle w:val="BodyText"/>
        <w:spacing w:before="24"/>
        <w:ind w:left="139"/>
        <w:jc w:val="both"/>
      </w:pPr>
      <w:r>
        <w:rPr>
          <w:w w:val="95"/>
          <w:u w:val="single"/>
        </w:rPr>
        <w:t>Las reacciones adversas fetales / neonatales</w:t>
      </w:r>
    </w:p>
    <w:p>
      <w:pPr>
        <w:pStyle w:val="BodyText"/>
        <w:spacing w:line="216" w:lineRule="auto" w:before="25"/>
        <w:ind w:left="139" w:right="39"/>
        <w:jc w:val="both"/>
      </w:pPr>
      <w:r>
        <w:rPr>
          <w:w w:val="95"/>
        </w:rPr>
        <w:t>Los síntomas extrapiramidales y / o de abstinencia, incluyendo agitación, hipertonía, hipotonía, temblor, somnolencia, dificultad respiratoria y el trastorno de la alimentación se han reportado en los recién nacidos que fueron expuestos a fármacos antipsicóticos (incluyendo</w:t>
      </w:r>
    </w:p>
    <w:p>
      <w:pPr>
        <w:pStyle w:val="BodyText"/>
        <w:spacing w:line="213" w:lineRule="auto" w:before="177"/>
        <w:ind w:left="140" w:right="717"/>
        <w:jc w:val="both"/>
      </w:pPr>
      <w:r>
        <w:rPr/>
        <w:br w:type="column"/>
      </w:r>
      <w:r>
        <w:rPr>
          <w:w w:val="95"/>
        </w:rPr>
        <w:t>aripiprazol oral) durante el tercer trimestre del embarazo. Estos síntomas han variado en gravedad. Algunos neonatos recuperados en cuestión de horas o días sin tratamiento específico; otros requirieron hospitalización prolongada. Monitorear los recién nacidos que presentan síntomas extrapiramidales y / o abstinencia y gestionar adecuadamente los síntomas.</w:t>
      </w:r>
    </w:p>
    <w:p>
      <w:pPr>
        <w:pStyle w:val="Heading3"/>
        <w:spacing w:line="181" w:lineRule="exact" w:before="28"/>
        <w:jc w:val="both"/>
      </w:pPr>
      <w:r>
        <w:rPr>
          <w:w w:val="95"/>
        </w:rPr>
        <w:t>Los datos en animales</w:t>
      </w:r>
    </w:p>
    <w:p>
      <w:pPr>
        <w:pStyle w:val="BodyText"/>
        <w:spacing w:line="213" w:lineRule="auto" w:before="14"/>
        <w:ind w:left="140" w:right="717"/>
        <w:jc w:val="both"/>
      </w:pPr>
      <w:r>
        <w:rPr>
          <w:w w:val="95"/>
        </w:rPr>
        <w:t>En estudios con animales, el aripiprazol demostró toxicidad en el desarrollo, incluyendo </w:t>
      </w:r>
      <w:r>
        <w:rPr/>
        <w:t>los posibles efectos teratogénicos en ratas y conejos.</w:t>
      </w:r>
    </w:p>
    <w:p>
      <w:pPr>
        <w:pStyle w:val="BodyText"/>
        <w:spacing w:line="213" w:lineRule="auto" w:before="29"/>
        <w:ind w:left="140" w:right="717"/>
        <w:jc w:val="both"/>
      </w:pPr>
      <w:r>
        <w:rPr>
          <w:w w:val="95"/>
        </w:rPr>
        <w:t>ratas preñadas se trataron con dosis orales de 3, 10 y 30 mg / kg / día, que son aproximadamente de 1 a 10 veces la dosis humana máxima recomendada [MRHD] de 30 mg / día en una base de mg / m2 de aripiprazol durante el período de organogénesis. El tratamiento en la dosis más alta causó una ligera prolongación de la gestación y el retraso en el desarrollo fetal, como se evidencia por la disminución del peso fetal y testículos no descendidos. se observó retraso de la osificación del esqueleto a los 3 y 10 veces la MRHD oral sobre una</w:t>
      </w:r>
      <w:r>
        <w:rPr/>
        <w:t>base / m2 mg.</w:t>
      </w:r>
    </w:p>
    <w:p>
      <w:pPr>
        <w:pStyle w:val="BodyText"/>
        <w:spacing w:line="213" w:lineRule="auto" w:before="26"/>
        <w:ind w:left="140" w:right="717"/>
        <w:jc w:val="both"/>
      </w:pPr>
      <w:r>
        <w:rPr/>
        <w:t>A los 3 y 10 veces la MRHD oral sobre una base de mg / m2, descendencia entregado había disminución del peso corporal. se observaron una mayor incidencia de nódulos hepatodiaphragmatic y la hernia diafragmática en la descendencia del grupo que dosis más alta (los otros grupos de dosis no fueron examinados para estos resultados). Postnatalmente, retrasó abertura vaginal se observó a las 3 y 10 veces la MRHD oral sobre una base de mg / m2 y deterioro de la función reproductora (disminución de la tasa de fertilidad, los cuerpos lúteos, implantes, fetos vivos, y aumento de la pérdida post-implantación, probablemente mediada a través de efectos en descendencia femenina) junto con algo de toxicidad materna fueron vistos en la dosis más alta; Sin embargo, no había pruebas que sugieren que estos efectos en el desarrollo eran secundarios a la toxicidad materna.</w:t>
      </w:r>
    </w:p>
    <w:p>
      <w:pPr>
        <w:pStyle w:val="BodyText"/>
        <w:spacing w:line="213" w:lineRule="auto" w:before="32"/>
        <w:ind w:left="140" w:right="716"/>
        <w:jc w:val="both"/>
      </w:pPr>
      <w:r>
        <w:rPr/>
        <w:t>En ratas embarazadas tratados con aripiprazol por vía intravenosa a dosis de 3, 9, y 27 mg / kg / día, que son de 1 a 9 veces la MRHD oral sobre una base de mg / m2, durante el período de organogénesis, disminución del peso fetal y el retraso esquelético osificación fueron vistos en la dosis más alta que también causó toxicidad materna.</w:t>
      </w:r>
    </w:p>
    <w:p>
      <w:pPr>
        <w:pStyle w:val="BodyText"/>
        <w:spacing w:line="213" w:lineRule="auto" w:before="29"/>
        <w:ind w:left="140" w:right="717"/>
        <w:jc w:val="both"/>
      </w:pPr>
      <w:r>
        <w:rPr>
          <w:w w:val="90"/>
        </w:rPr>
        <w:t>En conejos embarazadas tratadas con dosis orales de 10, 30, y 100 mg / kg / día, que son 2 a 11 veces la exposición humana a la MRHD oral basada en AUC y de 6 a 65 veces la MRHD oral de aripiprazol en una base de mg / m2 durante el período de organogénesis, disminución del consumo de alimentos de la madre y aumento de los abortos fueron vistos en la dosis más alta, así como aumento de la mortalidad fetal. La disminución se observaron peso fetal y aumento de la incidencia de esternebras fusionado en 3 y 11 veces la MRHD</w:t>
      </w:r>
      <w:r>
        <w:rPr/>
        <w:t>basada en el AUC.</w:t>
      </w:r>
    </w:p>
    <w:p>
      <w:pPr>
        <w:pStyle w:val="BodyText"/>
        <w:spacing w:line="213" w:lineRule="auto" w:before="31"/>
        <w:ind w:left="140" w:right="717"/>
        <w:jc w:val="both"/>
      </w:pPr>
      <w:r>
        <w:rPr>
          <w:w w:val="95"/>
        </w:rPr>
        <w:t>En conejos embarazadas que reciben inyección aripiprazol por vía intravenosa a dosis de 3, 10, y 30 mg / kg / día, que son 2 a 19 veces la MRHD oral sobre una base de mg / m2 durante el período de la organogénesis, la dosis más alta causó toxicidad materna pronunciada que resultó en una disminución del peso fetal, el aumento de anormalidades fetales (principalmente esquelético), y la disminución de la osificación esquelética fetal. La dosis sin efecto fetal fue de 5 veces la exposición humana a la MRHD oral basada en AUC y es 6 veces la vía oral</w:t>
      </w:r>
      <w:r>
        <w:rPr/>
        <w:t>MRHD en una base de mg / m2.</w:t>
      </w:r>
    </w:p>
    <w:p>
      <w:pPr>
        <w:pStyle w:val="BodyText"/>
        <w:spacing w:line="213" w:lineRule="auto" w:before="31"/>
        <w:ind w:left="140" w:right="716"/>
        <w:jc w:val="both"/>
      </w:pPr>
      <w:r>
        <w:rPr>
          <w:w w:val="95"/>
        </w:rPr>
        <w:t>En ratas tratadas con dosis orales de 3, 10, y 30 mg / kg / día, que son de 1 a 10 veces la MRHD oral de aripiprazol en una base mg / m2, peri- y post-parto (desde el día 17 de la gestación a través de 21 días después del parto), la toxicidad materna leve y la gestación ligeramente prolongada fueron vistos en la dosis más alta. Un aumento de mortinatos y disminuciones de peso de las crías (que persiste hasta la edad adulta) y la supervivencia también fueron vistos en esta dosis.</w:t>
      </w:r>
    </w:p>
    <w:p>
      <w:pPr>
        <w:pStyle w:val="BodyText"/>
        <w:spacing w:line="213" w:lineRule="auto" w:before="30"/>
        <w:ind w:left="140" w:right="717"/>
        <w:jc w:val="both"/>
      </w:pPr>
      <w:r>
        <w:rPr>
          <w:w w:val="95"/>
        </w:rPr>
        <w:t>En ratas tratadas con aripiprazol por vía intravenosa a dosis de 3, 8, y 20 mg / kg / día </w:t>
      </w:r>
      <w:r>
        <w:rPr/>
        <w:t>que son de 1 a 6 veces la MRHD oral sobre una base de mg / m2 de día 6 de gestación hasta el día 20 después del parto, el aumento de muertes fetales fueron vistos a los 3 y 6 veces la MRHD sobre una base de mg / m2, y disminuye a principios de peso de las crías postnatal y la supervivencia se observó a la dosis más alta; estas dosis producen cierta toxicidad materna. No hubo efectos sobre el desarrollo conductual y reproductiva posnatal.</w:t>
      </w:r>
    </w:p>
    <w:p>
      <w:pPr>
        <w:pStyle w:val="Heading3"/>
        <w:numPr>
          <w:ilvl w:val="1"/>
          <w:numId w:val="11"/>
        </w:numPr>
        <w:tabs>
          <w:tab w:pos="560" w:val="left" w:leader="none"/>
          <w:tab w:pos="561" w:val="left" w:leader="none"/>
        </w:tabs>
        <w:spacing w:line="271" w:lineRule="auto" w:before="28" w:after="0"/>
        <w:ind w:left="140" w:right="4973" w:firstLine="0"/>
        <w:jc w:val="left"/>
      </w:pPr>
      <w:r>
        <w:rPr>
          <w:spacing w:val="-1"/>
          <w:w w:val="85"/>
        </w:rPr>
        <w:t>Lactancia </w:t>
      </w:r>
      <w:r>
        <w:rPr>
          <w:w w:val="90"/>
        </w:rPr>
        <w:t>Resumen de riesgos</w:t>
      </w:r>
    </w:p>
    <w:p>
      <w:pPr>
        <w:pStyle w:val="BodyText"/>
        <w:spacing w:line="144" w:lineRule="exact"/>
        <w:ind w:left="140"/>
        <w:jc w:val="both"/>
      </w:pPr>
      <w:r>
        <w:rPr/>
        <w:t>El aripiprazol está presente en la leche materna humana; Sin embargo, no hay datos suficientes para</w:t>
      </w:r>
    </w:p>
    <w:p>
      <w:pPr>
        <w:pStyle w:val="BodyText"/>
        <w:spacing w:line="213" w:lineRule="auto" w:before="6"/>
        <w:ind w:left="140" w:right="718"/>
        <w:jc w:val="both"/>
      </w:pPr>
      <w:r>
        <w:rPr>
          <w:w w:val="95"/>
        </w:rPr>
        <w:t>evaluar la cantidad en la leche humana, los efectos sobre el lactante, o los efectos sobre la producción de leche. Los beneficios del desarrollo y de la lactancia deben ser considerados junto con la necesidad clínica de la madre de aripiprazol Mantenim y los posibles efectos adversos sobre el lactante de ABILIFY Mantenim o de la</w:t>
      </w:r>
      <w:r>
        <w:rPr/>
        <w:t>condición materna subyacente.</w:t>
      </w:r>
    </w:p>
    <w:p>
      <w:pPr>
        <w:pStyle w:val="Heading3"/>
        <w:numPr>
          <w:ilvl w:val="1"/>
          <w:numId w:val="22"/>
        </w:numPr>
        <w:tabs>
          <w:tab w:pos="561" w:val="left" w:leader="none"/>
        </w:tabs>
        <w:spacing w:line="181" w:lineRule="exact" w:before="28" w:after="0"/>
        <w:ind w:left="560" w:right="0" w:hanging="420"/>
        <w:jc w:val="both"/>
      </w:pPr>
      <w:r>
        <w:rPr>
          <w:w w:val="85"/>
        </w:rPr>
        <w:t>uso pediátrico</w:t>
      </w:r>
    </w:p>
    <w:p>
      <w:pPr>
        <w:pStyle w:val="BodyText"/>
        <w:spacing w:line="213" w:lineRule="auto" w:before="14"/>
        <w:ind w:left="139" w:right="718"/>
        <w:jc w:val="both"/>
      </w:pPr>
      <w:r>
        <w:rPr>
          <w:w w:val="95"/>
        </w:rPr>
        <w:t>ABILIFY Mantenim no ha sido estudiado en niños de 18 años de edad o menos. </w:t>
      </w:r>
      <w:r>
        <w:rPr/>
        <w:t>Sin embargo, estudios en animales juveniles se han realizado en ratas y perros.</w:t>
      </w:r>
    </w:p>
    <w:p>
      <w:pPr>
        <w:pStyle w:val="Heading3"/>
        <w:spacing w:line="181" w:lineRule="exact" w:before="27"/>
        <w:ind w:left="139"/>
        <w:jc w:val="both"/>
      </w:pPr>
      <w:r>
        <w:rPr>
          <w:w w:val="95"/>
        </w:rPr>
        <w:t>Estudios en animales juveniles</w:t>
      </w:r>
    </w:p>
    <w:p>
      <w:pPr>
        <w:pStyle w:val="BodyText"/>
        <w:spacing w:line="213" w:lineRule="auto" w:before="14"/>
        <w:ind w:left="139" w:right="717"/>
        <w:jc w:val="both"/>
      </w:pPr>
      <w:r>
        <w:rPr>
          <w:w w:val="95"/>
        </w:rPr>
        <w:t>El aripiprazol en ratas jóvenes causó mortalidad, los signos clínicos del sistema nervioso central, trastornos de la memoria y el aprendizaje, y el retraso en la maduración sexual cuando se administra en dosis orales de </w:t>
      </w:r>
      <w:r>
        <w:rPr/>
        <w:t>10, 20, 40 mg / kg / día desde el destete (21 días de edad) a través de la madurez (80 días de edad). A 40 mg / kg / día, la mortalidad, disminución de la actividad, las extremidades extendidas traseras, postura encorvada, ataxia, temblores y otros signos del SNC fueron observados en ambos géneros. Además, se observó retraso en la maduración sexual en los hombres. A todas las dosis y de una manera dependiente de la dosis, deterioro de la memoria y el aprendizaje, el aumento de la actividad motora, y cambios histopatológicos en la pituitaria (atrofia), las glándulas suprarrenales (hipertrofia adrenocortical), glándulas mamarias (hiperplasia y aumento de la secreción), y los órganos reproductores femeninos ( se observaron mucificación vaginal, atrofia endometrial, disminución de los cuerpos lúteos del ovario). Los cambios en los órganos reproductores femeninos se consideraron secundarios al aumento de los niveles séricos de prolactina. A nivel de efectos adversos no observado (NOAEL) no pudo ser determinada y, a la dosis más baja ensayada de 10 mg / kg / día, no hay margen de seguridad con respecto a las exposiciones sistémicas (AUC 0-24) para aripiprazol o su principal metabolito activo en adolescentes en la dosis máxima recomendada pediátrica de 15 mg / día. Todos los efectos relacionados con el fármaco fueron reversibles después de un período de recuperación de 2 meses, y la mayoría de los efectos de drogas en ratas jóvenes también se observaron en ratas adultas de estudios realizados previamente.</w:t>
      </w:r>
    </w:p>
    <w:p>
      <w:pPr>
        <w:spacing w:after="0" w:line="213" w:lineRule="auto"/>
        <w:jc w:val="both"/>
        <w:sectPr>
          <w:pgSz w:w="12240" w:h="15840"/>
          <w:pgMar w:header="676" w:footer="367" w:top="860" w:bottom="600" w:left="580" w:right="0"/>
          <w:cols w:num="2" w:equalWidth="0">
            <w:col w:w="5462" w:space="58"/>
            <w:col w:w="6140"/>
          </w:cols>
        </w:sectPr>
      </w:pPr>
    </w:p>
    <w:p>
      <w:pPr>
        <w:pStyle w:val="BodyText"/>
        <w:spacing w:before="9"/>
        <w:rPr>
          <w:sz w:val="15"/>
        </w:rPr>
      </w:pPr>
    </w:p>
    <w:p>
      <w:pPr>
        <w:pStyle w:val="BodyText"/>
        <w:spacing w:line="216" w:lineRule="auto"/>
        <w:ind w:left="140" w:right="39"/>
        <w:jc w:val="both"/>
      </w:pPr>
      <w:r>
        <w:rPr>
          <w:w w:val="95"/>
        </w:rPr>
        <w:t>El aripiprazol en perros jóvenes (2 meses de edad) causó signos clínicos del SNC de temblores, hipoactividad, ataxia, decúbito y el uso limitado de las extremidades traseras cuando se administra por vía oral durante 6 meses a los 3, 10, 30 mg / kg / día. La media de peso corporal y el aumento de peso se redujo hasta el 18% en las mujeres en todos los grupos de fármacos en relación con los valores de control. A NOAEL no pudo ser determinado y, a la dosis más baja ensayada de 3 mg / kg / día, no hay margen de seguridad con respecto a las exposiciones sistémicas (AUC 0-24) para aripiprazol o su principal metabolito activo en adolescentes en el máximo recomendado pediátrica dosis de 15 mg / día. Todos los efectos relacionados con el fármaco fueron reversibles después de un período de recuperación de 2 meses.</w:t>
      </w:r>
    </w:p>
    <w:p>
      <w:pPr>
        <w:pStyle w:val="Heading3"/>
        <w:numPr>
          <w:ilvl w:val="1"/>
          <w:numId w:val="22"/>
        </w:numPr>
        <w:tabs>
          <w:tab w:pos="560" w:val="left" w:leader="none"/>
        </w:tabs>
        <w:spacing w:line="182" w:lineRule="exact" w:before="23" w:after="0"/>
        <w:ind w:left="560" w:right="0" w:hanging="420"/>
        <w:jc w:val="both"/>
      </w:pPr>
      <w:r>
        <w:rPr>
          <w:w w:val="95"/>
        </w:rPr>
        <w:t>uso geriátrico</w:t>
      </w:r>
    </w:p>
    <w:p>
      <w:pPr>
        <w:pStyle w:val="BodyText"/>
        <w:spacing w:line="216" w:lineRule="auto" w:before="13"/>
        <w:ind w:left="140" w:right="40"/>
        <w:jc w:val="both"/>
      </w:pPr>
      <w:r>
        <w:rPr>
          <w:w w:val="95"/>
        </w:rPr>
        <w:t>Los estudios clínicos de aripiprazol oral no incluyeron un número suficiente de sujetos de 65 años o más para determinar si responden de manera diferente a los sujetos más jóvenes. Otros reportados experiencia y los datos clínicos farmacocinéticos [ver Farmacología Clínica (12.3)] diferencias no se han identificado en las respuestas entre los pacientes ancianos y jóvenes. En general, la dosis para un paciente anciano debe ser cauteloso, generalmente comenzando en el extremo inferior del intervalo de dosificación, lo que refleja la mayor frecuencia de hepática disminuida, renal o cardíaca, y de enfermedades concomitantes</w:t>
      </w:r>
      <w:r>
        <w:rPr/>
        <w:t>u otra terapia de fármacos.</w:t>
      </w:r>
    </w:p>
    <w:p>
      <w:pPr>
        <w:spacing w:line="216" w:lineRule="auto" w:before="24"/>
        <w:ind w:left="140" w:right="39" w:firstLine="0"/>
        <w:jc w:val="both"/>
        <w:rPr>
          <w:sz w:val="16"/>
        </w:rPr>
      </w:pPr>
      <w:r>
        <w:rPr>
          <w:w w:val="90"/>
          <w:sz w:val="16"/>
        </w:rPr>
        <w:t>En una sola dosis y de dosis múltiples estudios farmacocinéticos, no había detectable </w:t>
      </w:r>
      <w:r>
        <w:rPr>
          <w:sz w:val="16"/>
        </w:rPr>
        <w:t>efecto de la edad en el análisis farmacocinético de la población de aripiprazol oral en pacientes con esquizofrenia [ver Farmacología clínica (12.3)]. No se requieren ajustes de dosis son recomendados en base a la edad. ABILIFY Mantenim no está aprobado para el tratamiento de pacientes con psicosis relacionada con demencia [véase también Advertencia y Advertencias en caja y precauciones (5.1)].</w:t>
      </w:r>
    </w:p>
    <w:p>
      <w:pPr>
        <w:pStyle w:val="Heading3"/>
        <w:numPr>
          <w:ilvl w:val="1"/>
          <w:numId w:val="22"/>
        </w:numPr>
        <w:tabs>
          <w:tab w:pos="560" w:val="left" w:leader="none"/>
        </w:tabs>
        <w:spacing w:line="182" w:lineRule="exact" w:before="24" w:after="0"/>
        <w:ind w:left="560" w:right="0" w:hanging="420"/>
        <w:jc w:val="both"/>
      </w:pPr>
      <w:r>
        <w:rPr>
          <w:w w:val="95"/>
        </w:rPr>
        <w:t>Metabolizadores lentos de CYP2D6</w:t>
      </w:r>
    </w:p>
    <w:p>
      <w:pPr>
        <w:spacing w:line="216" w:lineRule="auto" w:before="13"/>
        <w:ind w:left="140" w:right="39" w:firstLine="0"/>
        <w:jc w:val="both"/>
        <w:rPr>
          <w:i/>
          <w:sz w:val="16"/>
        </w:rPr>
      </w:pPr>
      <w:r>
        <w:rPr>
          <w:w w:val="95"/>
          <w:sz w:val="16"/>
        </w:rPr>
        <w:t>ajuste de la dosis se recomienda en los metabolizadores lentos de CYP2D6 conocidos debido a las altas concentraciones de aripiprazol. Aproximadamente el 8% de los caucásicos y el 3-8% de los estadounidenses Negro / africanos no pueden metabolizar los sustratos del CYP2D6 y se clasifican</w:t>
      </w:r>
      <w:r>
        <w:rPr>
          <w:sz w:val="16"/>
        </w:rPr>
        <w:t>como metabolizadores pobres (MP) [ver Dosis y Administración (2.3) y Farmacología Clínica (12.3)].</w:t>
      </w:r>
    </w:p>
    <w:p>
      <w:pPr>
        <w:pStyle w:val="Heading3"/>
        <w:numPr>
          <w:ilvl w:val="1"/>
          <w:numId w:val="22"/>
        </w:numPr>
        <w:tabs>
          <w:tab w:pos="560" w:val="left" w:leader="none"/>
        </w:tabs>
        <w:spacing w:line="182" w:lineRule="exact" w:before="39" w:after="0"/>
        <w:ind w:left="560" w:right="0" w:hanging="420"/>
        <w:jc w:val="both"/>
      </w:pPr>
      <w:r>
        <w:rPr>
          <w:w w:val="95"/>
        </w:rPr>
        <w:t>Deterioro hepático y renal</w:t>
      </w:r>
    </w:p>
    <w:p>
      <w:pPr>
        <w:pStyle w:val="BodyText"/>
        <w:spacing w:line="216" w:lineRule="auto" w:before="13"/>
        <w:ind w:left="140" w:right="38"/>
        <w:jc w:val="both"/>
      </w:pPr>
      <w:r>
        <w:rPr>
          <w:w w:val="90"/>
        </w:rPr>
        <w:t>No es necesario ajustar la dosis de aripiprazol Mantenim sobre la base de la función hepática de un paciente (insuficiencia hepática leve a severa, puntuación de Child-Pugh de 5 a 15), o de la función renal (insuficiencia renal leve a severa, el filtrado glomerular </w:t>
      </w:r>
      <w:r>
        <w:rPr/>
        <w:t>tasa de entre 15 y 90 ml / minuto) [ver Farmacología clínica (12.3)].</w:t>
      </w:r>
    </w:p>
    <w:p>
      <w:pPr>
        <w:pStyle w:val="Heading3"/>
        <w:numPr>
          <w:ilvl w:val="1"/>
          <w:numId w:val="22"/>
        </w:numPr>
        <w:tabs>
          <w:tab w:pos="560" w:val="left" w:leader="none"/>
        </w:tabs>
        <w:spacing w:line="182" w:lineRule="exact" w:before="40" w:after="0"/>
        <w:ind w:left="560" w:right="0" w:hanging="420"/>
        <w:jc w:val="both"/>
      </w:pPr>
      <w:r>
        <w:rPr>
          <w:w w:val="95"/>
        </w:rPr>
        <w:t>Otras poblaciones específicas</w:t>
      </w:r>
    </w:p>
    <w:p>
      <w:pPr>
        <w:spacing w:line="216" w:lineRule="auto" w:before="13"/>
        <w:ind w:left="140" w:right="38" w:firstLine="0"/>
        <w:jc w:val="both"/>
        <w:rPr>
          <w:i/>
          <w:sz w:val="16"/>
        </w:rPr>
      </w:pPr>
      <w:r>
        <w:rPr>
          <w:w w:val="90"/>
          <w:sz w:val="16"/>
        </w:rPr>
        <w:t>No es necesario ajustar la dosis de aripiprazol Mantenim sobre la base de un paciente de </w:t>
      </w:r>
      <w:r>
        <w:rPr>
          <w:sz w:val="16"/>
        </w:rPr>
        <w:t>el sexo, la raza o la condición de fumar [ver Farmacología Clínica (12.3)].</w:t>
      </w:r>
    </w:p>
    <w:p>
      <w:pPr>
        <w:pStyle w:val="Heading3"/>
        <w:numPr>
          <w:ilvl w:val="0"/>
          <w:numId w:val="23"/>
        </w:numPr>
        <w:tabs>
          <w:tab w:pos="560" w:val="left" w:leader="none"/>
        </w:tabs>
        <w:spacing w:line="240" w:lineRule="auto" w:before="70" w:after="0"/>
        <w:ind w:left="560" w:right="0" w:hanging="420"/>
        <w:jc w:val="both"/>
      </w:pPr>
      <w:r>
        <w:rPr>
          <w:w w:val="90"/>
        </w:rPr>
        <w:t>SOBREDOSIS</w:t>
      </w:r>
    </w:p>
    <w:p>
      <w:pPr>
        <w:pStyle w:val="ListParagraph"/>
        <w:numPr>
          <w:ilvl w:val="1"/>
          <w:numId w:val="23"/>
        </w:numPr>
        <w:tabs>
          <w:tab w:pos="560" w:val="left" w:leader="none"/>
        </w:tabs>
        <w:spacing w:line="182" w:lineRule="exact" w:before="38" w:after="0"/>
        <w:ind w:left="560" w:right="0" w:hanging="420"/>
        <w:jc w:val="both"/>
        <w:rPr>
          <w:b/>
          <w:sz w:val="16"/>
        </w:rPr>
      </w:pPr>
      <w:r>
        <w:rPr>
          <w:b/>
          <w:w w:val="95"/>
          <w:sz w:val="16"/>
        </w:rPr>
        <w:t>Experiencia humana</w:t>
      </w:r>
    </w:p>
    <w:p>
      <w:pPr>
        <w:pStyle w:val="BodyText"/>
        <w:spacing w:line="216" w:lineRule="auto" w:before="13"/>
        <w:ind w:left="140" w:right="38"/>
        <w:jc w:val="both"/>
      </w:pPr>
      <w:r>
        <w:rPr>
          <w:w w:val="95"/>
        </w:rPr>
        <w:t>El caso más grande conocida de la ingestión aguda con un resultado conocido implicado 1260 mg de aripiprazol oral (42 veces la dosis máxima diaria recomendada) en un paciente </w:t>
      </w:r>
      <w:r>
        <w:rPr/>
        <w:t>quien se recuperó totalmente.</w:t>
      </w:r>
    </w:p>
    <w:p>
      <w:pPr>
        <w:pStyle w:val="BodyText"/>
        <w:spacing w:line="216" w:lineRule="auto" w:before="27"/>
        <w:ind w:left="140" w:right="38"/>
        <w:jc w:val="both"/>
      </w:pPr>
      <w:r>
        <w:rPr>
          <w:w w:val="95"/>
        </w:rPr>
        <w:t>Las reacciones adversas comunes (reportado en al menos 5% de todos los casos de sobredosis) informaron con sobredosis de aripiprazol oral (solo o en combinación con otras sustancias) incluyen vómitos, somnolencia y temblor. Otros signos y síntomas clínicamente importantes observados en uno o más pacientes con sobredosis de aripiprazol (sólo o con otras sustancias) incluir acidosis, la agresión, aspartato aminotransferasa, fibrilación auricular, bradicardia, coma, estado confusional, convulsiones, creatina fosfocinasa en sangre aumenta, el nivel deprimido de la conciencia, hipertensión, hipopotasemia, hipotensión, letargo, pérdida de conciencia, complejo QRS prolongado,</w:t>
      </w:r>
      <w:r>
        <w:rPr/>
        <w:t>QT prolongado, neumonía por aspiración, paro respiratorio, el estado epiléptico, y taquicardia.</w:t>
      </w:r>
    </w:p>
    <w:p>
      <w:pPr>
        <w:pStyle w:val="Heading3"/>
        <w:numPr>
          <w:ilvl w:val="1"/>
          <w:numId w:val="23"/>
        </w:numPr>
        <w:tabs>
          <w:tab w:pos="560" w:val="left" w:leader="none"/>
        </w:tabs>
        <w:spacing w:line="182" w:lineRule="exact" w:before="22" w:after="0"/>
        <w:ind w:left="560" w:right="0" w:hanging="420"/>
        <w:jc w:val="both"/>
      </w:pPr>
      <w:r>
        <w:rPr>
          <w:w w:val="95"/>
        </w:rPr>
        <w:t>Tratamiento de la Sobredosis</w:t>
      </w:r>
    </w:p>
    <w:p>
      <w:pPr>
        <w:pStyle w:val="BodyText"/>
        <w:spacing w:line="182" w:lineRule="exact"/>
        <w:ind w:left="140"/>
        <w:jc w:val="both"/>
      </w:pPr>
      <w:r>
        <w:rPr>
          <w:w w:val="90"/>
        </w:rPr>
        <w:t>En caso de sobredosis, llame al centro de toxicología de inmediato al 1-800-222-1222.</w:t>
      </w:r>
    </w:p>
    <w:p>
      <w:pPr>
        <w:pStyle w:val="Heading3"/>
        <w:numPr>
          <w:ilvl w:val="0"/>
          <w:numId w:val="23"/>
        </w:numPr>
        <w:tabs>
          <w:tab w:pos="560" w:val="left" w:leader="none"/>
        </w:tabs>
        <w:spacing w:line="182" w:lineRule="exact" w:before="53" w:after="0"/>
        <w:ind w:left="560" w:right="0" w:hanging="420"/>
        <w:jc w:val="both"/>
      </w:pPr>
      <w:r>
        <w:rPr>
          <w:w w:val="95"/>
        </w:rPr>
        <w:t>DESCRIPCIÓN</w:t>
      </w:r>
    </w:p>
    <w:p>
      <w:pPr>
        <w:pStyle w:val="BodyText"/>
        <w:spacing w:line="216" w:lineRule="auto" w:before="13"/>
        <w:ind w:left="140" w:right="43"/>
        <w:jc w:val="both"/>
      </w:pPr>
      <w:r>
        <w:rPr>
          <w:spacing w:val="-4"/>
          <w:w w:val="95"/>
        </w:rPr>
        <w:t>El aripiprazol </w:t>
      </w:r>
      <w:r>
        <w:rPr>
          <w:w w:val="95"/>
        </w:rPr>
        <w:t>es un antipsicótico atípico que está presente en ABILIFY Mantenim como su forma polimórfica monohidrato. monohidrato de aripiprazol es 7- [4- [4- (fenil 2,3-dicloro) -1-piperazinil] butoxi] -3,4 dihidrocarboestirilo monohidrato. La fórmula empírica es C23H27Cl2N3O2 • H2O y su peso molecular es 466.40. La estructura química es:</w:t>
      </w:r>
    </w:p>
    <w:p>
      <w:pPr>
        <w:pStyle w:val="Heading2"/>
        <w:tabs>
          <w:tab w:pos="1511" w:val="left" w:leader="none"/>
          <w:tab w:pos="2637" w:val="left" w:leader="none"/>
        </w:tabs>
        <w:spacing w:before="33"/>
        <w:ind w:left="1072"/>
      </w:pPr>
      <w:r>
        <w:rPr/>
        <w:pict>
          <v:group style="position:absolute;margin-left:155.977158pt;margin-top:8.705556pt;width:2.15pt;height:2.15pt;mso-position-horizontal-relative:page;mso-position-vertical-relative:paragraph;z-index:-63664" coordorigin="3120,174" coordsize="43,43">
            <v:rect style="position:absolute;left:3124;top:179;width:32;height:32" filled="true" fillcolor="#000000" stroked="false">
              <v:fill type="solid"/>
            </v:rect>
            <v:rect style="position:absolute;left:3124;top:179;width:32;height:32" filled="false" stroked="true" strokeweight=".538374pt" strokecolor="#000000">
              <v:stroke dashstyle="solid"/>
            </v:rect>
            <w10:wrap type="none"/>
          </v:group>
        </w:pict>
      </w:r>
      <w:r>
        <w:rPr/>
        <w:pict>
          <v:group style="position:absolute;margin-left:88.814766pt;margin-top:10.222711pt;width:25.65pt;height:21.1pt;mso-position-horizontal-relative:page;mso-position-vertical-relative:paragraph;z-index:-63640" coordorigin="1776,204" coordsize="513,422">
            <v:shape style="position:absolute;left:1781;top:304;width:365;height:317" coordorigin="1782,304" coordsize="365,317" path="m1782,462l1861,304,2067,304,2147,462,2067,620,1861,620,1782,462xe" filled="false" stroked="true" strokeweight=".538242pt" strokecolor="#000000">
              <v:path arrowok="t"/>
              <v:stroke dashstyle="solid"/>
            </v:shape>
            <v:line style="position:absolute" from="2147,462" to="2289,462" stroked="true" strokeweight=".600651pt" strokecolor="#000000">
              <v:stroke dashstyle="solid"/>
            </v:line>
            <v:line style="position:absolute" from="2067,308" to="2127,210" stroked="true" strokeweight=".602195pt" strokecolor="#000000">
              <v:stroke dashstyle="solid"/>
            </v:line>
            <v:line style="position:absolute" from="1861,304" to="1806,210" stroked="true" strokeweight=".60222pt" strokecolor="#000000">
              <v:stroke dashstyle="solid"/>
            </v:line>
            <v:line style="position:absolute" from="1811,458" to="1876,329" stroked="true" strokeweight=".602354pt" strokecolor="#000000">
              <v:stroke dashstyle="solid"/>
            </v:line>
            <v:line style="position:absolute" from="2124,462" to="2059,333" stroked="true" strokeweight=".602347pt" strokecolor="#000000">
              <v:stroke dashstyle="solid"/>
            </v:line>
            <w10:wrap type="none"/>
          </v:group>
        </w:pict>
      </w:r>
      <w:r>
        <w:rPr/>
        <w:pict>
          <v:group style="position:absolute;margin-left:205.056366pt;margin-top:5.223637pt;width:42.6pt;height:19.2pt;mso-position-horizontal-relative:page;mso-position-vertical-relative:paragraph;z-index:-63616" coordorigin="4101,104" coordsize="852,384">
            <v:shape style="position:absolute;left:4205;top:109;width:327;height:373" coordorigin="4206,110" coordsize="327,373" path="m4210,380l4206,204,4382,110,4527,212,4532,389,4355,483,4210,380xe" filled="false" stroked="true" strokeweight=".527945pt" strokecolor="#000000">
              <v:path arrowok="t"/>
              <v:stroke dashstyle="solid"/>
            </v:shape>
            <v:shape style="position:absolute;left:4524;top:110;width:328;height:334" coordorigin="4524,110" coordsize="328,334" path="m4630,444l4531,383,4524,206,4700,110,4845,211,4852,388,4758,444e" filled="false" stroked="true" strokeweight=".527836pt" strokecolor="#000000">
              <v:path arrowok="t"/>
              <v:stroke dashstyle="solid"/>
            </v:shape>
            <v:line style="position:absolute" from="4107,435" to="4211,381" stroked="true" strokeweight=".601106pt" strokecolor="#000000">
              <v:stroke dashstyle="solid"/>
            </v:line>
            <v:line style="position:absolute" from="4841,398" to="4933,456" stroked="true" strokeweight=".601250pt" strokecolor="#000000">
              <v:stroke dashstyle="solid"/>
            </v:line>
            <v:line style="position:absolute" from="4852,372" to="4946,431" stroked="true" strokeweight=".601254pt" strokecolor="#000000">
              <v:stroke dashstyle="solid"/>
            </v:line>
            <v:line style="position:absolute" from="4235,213" to="4370,140" stroked="true" strokeweight=".601125pt" strokecolor="#000000">
              <v:stroke dashstyle="solid"/>
            </v:line>
            <v:line style="position:absolute" from="4244,377" to="4354,459" stroked="true" strokeweight=".601404pt" strokecolor="#000000">
              <v:stroke dashstyle="solid"/>
            </v:line>
            <v:line style="position:absolute" from="4511,375" to="4505,219" stroked="true" strokeweight=".602777pt" strokecolor="#000000">
              <v:stroke dashstyle="solid"/>
            </v:line>
            <w10:wrap type="none"/>
          </v:group>
        </w:pict>
      </w:r>
      <w:r>
        <w:rPr>
          <w:spacing w:val="-3"/>
        </w:rPr>
        <w:t>CLCL</w:t>
        <w:tab/>
        <w:tab/>
      </w:r>
      <w:r>
        <w:rPr>
          <w:spacing w:val="-3"/>
          <w:position w:val="-3"/>
        </w:rPr>
        <w:t>H2O</w:t>
      </w:r>
    </w:p>
    <w:p>
      <w:pPr>
        <w:pStyle w:val="Heading3"/>
        <w:numPr>
          <w:ilvl w:val="1"/>
          <w:numId w:val="24"/>
        </w:numPr>
        <w:tabs>
          <w:tab w:pos="561" w:val="left" w:leader="none"/>
        </w:tabs>
        <w:spacing w:line="182" w:lineRule="exact" w:before="166" w:after="0"/>
        <w:ind w:left="560" w:right="0" w:hanging="420"/>
        <w:jc w:val="both"/>
      </w:pPr>
      <w:r>
        <w:rPr>
          <w:w w:val="84"/>
        </w:rPr>
        <w:br w:type="column"/>
      </w:r>
      <w:r>
        <w:rPr>
          <w:w w:val="95"/>
        </w:rPr>
        <w:t>farmacodinámica</w:t>
      </w:r>
    </w:p>
    <w:p>
      <w:pPr>
        <w:pStyle w:val="BodyText"/>
        <w:spacing w:line="204" w:lineRule="auto" w:before="18"/>
        <w:ind w:left="140" w:right="715"/>
        <w:jc w:val="both"/>
      </w:pPr>
      <w:r>
        <w:rPr/>
        <w:t>exposiciones de Aripiprazol alta afinidad por la dopamina D2 y D3 (Kis 0,34 y 0,8 nM, respectivamente), la serotonina 5-HT1A y receptores 5-HT2A (Kis 1,7 y 3,4 nM, respectivamente), una afinidad moderada por la dopamina D4, la serotonina 5-HT2C y 5- HT7, alfa 1-adrenérgicos y los receptores H1 de histamina (Kis de 44 nM, 15 nM, 39 nM, 57 nM, y 61 nM, respectivamente), y una afinidad moderada por el sitio de recaptación de serotonina (Ki = 98 nM). El aripiprazol no tiene afinidad apreciable por los receptores muscarínicos colinérgicos (IC50&gt; 1000 nM). Acciones en los receptores distintos de D2, 5-HT1A y 5-HT2A podría explicar algunas de las otras reacciones adversas de aripiprazol (por ejemplo, la hipotensión ortostática observada con el aripiprazol puede ser explicado por su actividad antagonista en los receptores alfa 1 adrenérgicos).</w:t>
      </w:r>
    </w:p>
    <w:p>
      <w:pPr>
        <w:spacing w:line="182" w:lineRule="exact" w:before="3"/>
        <w:ind w:left="140" w:right="0" w:firstLine="0"/>
        <w:jc w:val="both"/>
        <w:rPr>
          <w:i/>
          <w:sz w:val="16"/>
        </w:rPr>
      </w:pPr>
      <w:r>
        <w:rPr>
          <w:i/>
          <w:sz w:val="16"/>
        </w:rPr>
        <w:t>Alcohol</w:t>
      </w:r>
    </w:p>
    <w:p>
      <w:pPr>
        <w:pStyle w:val="BodyText"/>
        <w:spacing w:line="216" w:lineRule="auto" w:before="13"/>
        <w:ind w:left="140" w:right="716"/>
        <w:jc w:val="both"/>
      </w:pPr>
      <w:r>
        <w:rPr>
          <w:w w:val="95"/>
        </w:rPr>
        <w:t>No hubo diferencia significativa entre oral de aripiprazol coadministrado </w:t>
      </w:r>
      <w:r>
        <w:rPr/>
        <w:t>con etanol y placebo co-administrado con etanol en el rendimiento de las habilidades motoras brutos o respuesta de estímulo en sujetos sanos. Al igual que con la mayoría de los medicamentos psicoactivos, los pacientes deben ser advertidos de evitar el alcohol mientras esté tomando ABILIFY Mantenim.</w:t>
      </w:r>
    </w:p>
    <w:p>
      <w:pPr>
        <w:pStyle w:val="Heading3"/>
        <w:numPr>
          <w:ilvl w:val="1"/>
          <w:numId w:val="24"/>
        </w:numPr>
        <w:tabs>
          <w:tab w:pos="561" w:val="left" w:leader="none"/>
        </w:tabs>
        <w:spacing w:line="182" w:lineRule="exact" w:before="25" w:after="0"/>
        <w:ind w:left="560" w:right="0" w:hanging="420"/>
        <w:jc w:val="both"/>
      </w:pPr>
      <w:r>
        <w:rPr>
          <w:w w:val="95"/>
        </w:rPr>
        <w:t>farmacocinética</w:t>
      </w:r>
    </w:p>
    <w:p>
      <w:pPr>
        <w:pStyle w:val="BodyText"/>
        <w:spacing w:line="216" w:lineRule="auto" w:before="13"/>
        <w:ind w:left="140" w:right="717"/>
        <w:jc w:val="both"/>
      </w:pPr>
      <w:r>
        <w:rPr/>
        <w:t>actividad ABILIFY Mantenim es presumiblemente debido principalmente a la droga madre, aripiprazol, y en menor medida, a su metabolito principal, dehidro-aripiprazol, que se ha demostrado que tienen afinidades para los receptores D2 similares al fármaco original</w:t>
      </w:r>
    </w:p>
    <w:p>
      <w:pPr>
        <w:pStyle w:val="BodyText"/>
        <w:spacing w:line="132" w:lineRule="exact"/>
        <w:ind w:left="140"/>
        <w:jc w:val="both"/>
      </w:pPr>
      <w:r>
        <w:rPr/>
        <w:t>y representa aproximadamente 29% de la exposición al fármaco padre en plasma.</w:t>
      </w:r>
    </w:p>
    <w:p>
      <w:pPr>
        <w:pStyle w:val="BodyText"/>
        <w:spacing w:line="213" w:lineRule="auto" w:before="26"/>
        <w:ind w:left="140" w:right="717"/>
        <w:jc w:val="both"/>
      </w:pPr>
      <w:r>
        <w:rPr>
          <w:w w:val="90"/>
        </w:rPr>
        <w:t>absorción de aripiprazol en la circulación sistémica es lenta y prolongada tras la inyección intramuscular debido a la baja solubilidad de las partículas de aripiprazol. Después de una administración de dosis única de ABILIFY Mantenim en el deltoides y glútea muscular, el grado de absorción (AUCt, AUC∞) de aripiprazol fue similar para ambos sitios de inyección, pero la velocidad de absorción (Cmax) era 31% más alto después de la administración a el deltoides en comparación con el sitio glútea. Sin embargo, en estado estacionario, AUC y Cmax</w:t>
      </w:r>
      <w:r>
        <w:rPr/>
        <w:t>fueron similares para ambos sitios de inyección. Después de varias dosis intramusculares, las concentraciones plasmáticas de aripiprazol se elevan gradualmente a las concentraciones plasmáticas máximas en una Tmax media de 5 - 7 días para el músculo glúteo y 4 días para el músculo deltoides. Después de la administración de los glúteos, la media de eliminación terminal aparente aripiprazol vida media fue de 29,9 días y 46,5 días después de múltiples inyecciones para cada inyección 4 semanas de ABILIFY Mantenim 300 mg y 400 mg, respectivamente. concentraciones en estado estacionario para el sujeto típico se alcanzaron por la cuarta dosis para ambos sitios de administración. Se observaron aumentos aproximados proporcional con la dosis en aripiprazol y dehidro-aripiprazol exposición después de cada cuatro semanas ABILIFY Mantenim inyecciones de 300 mg y 400 mg.</w:t>
      </w:r>
    </w:p>
    <w:p>
      <w:pPr>
        <w:pStyle w:val="BodyText"/>
        <w:spacing w:line="216" w:lineRule="auto" w:before="32"/>
        <w:ind w:left="140" w:right="719"/>
        <w:jc w:val="both"/>
      </w:pPr>
      <w:r>
        <w:rPr>
          <w:w w:val="90"/>
        </w:rPr>
        <w:t>Eliminación de aripiprazol es principalmente a través del metabolismo hepático que involucra dos isoenzimas P450, CYP2D6 y CYP3A4. El aripiprazol no es un sustrato de CYP1A1, CYP1A2, CYP2A6, CYP2B6, CYP2C8, CYP2C9, CYP2C19, o enzimas CYP2E1. también aripiprazol</w:t>
      </w:r>
      <w:r>
        <w:rPr/>
        <w:t>no sufre glucuronidación directa.</w:t>
      </w:r>
    </w:p>
    <w:p>
      <w:pPr>
        <w:spacing w:before="26"/>
        <w:ind w:left="140" w:right="0" w:firstLine="0"/>
        <w:jc w:val="both"/>
        <w:rPr>
          <w:b/>
          <w:sz w:val="16"/>
        </w:rPr>
      </w:pPr>
      <w:r>
        <w:rPr>
          <w:b/>
          <w:w w:val="95"/>
          <w:sz w:val="16"/>
          <w:u w:val="single"/>
        </w:rPr>
        <w:t>Los estudios de interacción de fármacos</w:t>
      </w:r>
    </w:p>
    <w:p>
      <w:pPr>
        <w:pStyle w:val="BodyText"/>
        <w:spacing w:line="216" w:lineRule="auto" w:before="24"/>
        <w:ind w:left="140" w:right="717"/>
        <w:jc w:val="both"/>
      </w:pPr>
      <w:r>
        <w:rPr>
          <w:w w:val="90"/>
        </w:rPr>
        <w:t>No hay estudios específicos de interacción de fármacos se han realizado con ABILIFY Mantenim. </w:t>
      </w:r>
      <w:r>
        <w:rPr/>
        <w:t>La siguiente información se obtiene a partir de estudios con aripiprazol oral.</w:t>
      </w:r>
    </w:p>
    <w:p>
      <w:pPr>
        <w:pStyle w:val="BodyText"/>
        <w:spacing w:line="216" w:lineRule="auto" w:before="28"/>
        <w:ind w:left="140" w:right="717"/>
        <w:jc w:val="both"/>
      </w:pPr>
      <w:r>
        <w:rPr>
          <w:w w:val="90"/>
        </w:rPr>
        <w:t>Efectos de otros fármacos sobre las exposiciones de aripiprazol y dehidro-aripiprazol se resumen en la Figura 19 y la Figura 20, respectivamente. Sobre la base de la simulación, se espera un aumento de 4,5 veces en la media de valores de Cmax y AUC en el estado estacionario cuando metabolizadores de CYP2D6 se administran con ambos inhibidores de CYP2D6 y CYP3A4 fuertes. Después de la administración oral, se espera que un aumento de 3 veces en los valores medios de Cmax y AUC en el estado estacionario en los metabolizadores pobres de CYP2D6 administrados con fuerte</w:t>
      </w:r>
      <w:r>
        <w:rPr/>
        <w:t>Los inhibidores de CYP3A4.</w:t>
      </w:r>
    </w:p>
    <w:p>
      <w:pPr>
        <w:pStyle w:val="Heading3"/>
        <w:spacing w:before="53"/>
        <w:jc w:val="both"/>
      </w:pPr>
      <w:r>
        <w:rPr>
          <w:w w:val="95"/>
        </w:rPr>
        <w:t>Figura 19: Los efectos de otros fármacos sobre la farmacocinética de aripiprazol</w:t>
      </w:r>
    </w:p>
    <w:p>
      <w:pPr>
        <w:pStyle w:val="BodyText"/>
        <w:spacing w:before="6"/>
        <w:rPr>
          <w:b/>
          <w:sz w:val="9"/>
        </w:rPr>
      </w:pPr>
    </w:p>
    <w:p>
      <w:pPr>
        <w:pStyle w:val="BodyText"/>
        <w:spacing w:line="117" w:lineRule="exact"/>
        <w:ind w:left="164"/>
        <w:rPr>
          <w:sz w:val="11"/>
        </w:rPr>
      </w:pPr>
      <w:r>
        <w:rPr>
          <w:position w:val="-1"/>
          <w:sz w:val="11"/>
        </w:rPr>
        <w:drawing>
          <wp:inline distT="0" distB="0" distL="0" distR="0">
            <wp:extent cx="1173541" cy="74675"/>
            <wp:effectExtent l="0" t="0" r="0" b="0"/>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9" cstate="print"/>
                    <a:stretch>
                      <a:fillRect/>
                    </a:stretch>
                  </pic:blipFill>
                  <pic:spPr>
                    <a:xfrm>
                      <a:off x="0" y="0"/>
                      <a:ext cx="1173541" cy="74675"/>
                    </a:xfrm>
                    <a:prstGeom prst="rect">
                      <a:avLst/>
                    </a:prstGeom>
                  </pic:spPr>
                </pic:pic>
              </a:graphicData>
            </a:graphic>
          </wp:inline>
        </w:drawing>
      </w:r>
      <w:r>
        <w:rPr>
          <w:position w:val="-1"/>
          <w:sz w:val="11"/>
        </w:rPr>
      </w:r>
    </w:p>
    <w:p>
      <w:pPr>
        <w:spacing w:after="0" w:line="117" w:lineRule="exact"/>
        <w:rPr>
          <w:sz w:val="11"/>
        </w:rPr>
        <w:sectPr>
          <w:pgSz w:w="12240" w:h="15840"/>
          <w:pgMar w:header="676" w:footer="367" w:top="860" w:bottom="640" w:left="580" w:right="0"/>
          <w:cols w:num="2" w:equalWidth="0">
            <w:col w:w="5462" w:space="58"/>
            <w:col w:w="6140"/>
          </w:cols>
        </w:sectPr>
      </w:pPr>
    </w:p>
    <w:p>
      <w:pPr>
        <w:pStyle w:val="BodyText"/>
        <w:spacing w:line="97" w:lineRule="exact"/>
        <w:ind w:left="1810"/>
        <w:rPr>
          <w:sz w:val="9"/>
        </w:rPr>
      </w:pPr>
      <w:r>
        <w:rPr>
          <w:position w:val="-1"/>
          <w:sz w:val="9"/>
        </w:rPr>
        <w:pict>
          <v:group style="width:14.45pt;height:4.850pt;mso-position-horizontal-relative:char;mso-position-vertical-relative:line" coordorigin="0,0" coordsize="289,97">
            <v:shape style="position:absolute;left:5;top:5;width:278;height:86" coordorigin="5,5" coordsize="278,86" path="m5,79l39,5,239,5,283,91e" filled="false" stroked="true" strokeweight=".537589pt" strokecolor="#000000">
              <v:path arrowok="t"/>
              <v:stroke dashstyle="solid"/>
            </v:shape>
          </v:group>
        </w:pict>
      </w:r>
      <w:r>
        <w:rPr>
          <w:position w:val="-1"/>
          <w:sz w:val="9"/>
        </w:rPr>
      </w:r>
    </w:p>
    <w:p>
      <w:pPr>
        <w:tabs>
          <w:tab w:pos="1712" w:val="left" w:leader="none"/>
          <w:tab w:pos="2052" w:val="left" w:leader="none"/>
          <w:tab w:pos="4050" w:val="left" w:leader="none"/>
        </w:tabs>
        <w:spacing w:line="153" w:lineRule="exact" w:before="0"/>
        <w:ind w:left="1313" w:right="0" w:firstLine="0"/>
        <w:jc w:val="left"/>
        <w:rPr>
          <w:sz w:val="17"/>
        </w:rPr>
      </w:pPr>
      <w:r>
        <w:rPr/>
        <w:pict>
          <v:shape style="position:absolute;margin-left:119.159409pt;margin-top:8.741972pt;width:14.65pt;height:4.650pt;mso-position-horizontal-relative:page;mso-position-vertical-relative:paragraph;z-index:1432" coordorigin="2383,175" coordsize="293,93" path="m2383,175l2430,268,2630,268,2676,178e" filled="false" stroked="true" strokeweight=".5376pt" strokecolor="#000000">
            <v:path arrowok="t"/>
            <v:stroke dashstyle="solid"/>
            <w10:wrap type="none"/>
          </v:shape>
        </w:pict>
      </w:r>
      <w:r>
        <w:rPr/>
        <w:pict>
          <v:group style="position:absolute;margin-left:315.879303pt;margin-top:-63.704395pt;width:260.5pt;height:146.25pt;mso-position-horizontal-relative:page;mso-position-vertical-relative:paragraph;z-index:1480" coordorigin="6318,-1274" coordsize="5210,2925">
            <v:shape style="position:absolute;left:0;top:4058;width:3731;height:38" coordorigin="0,4058" coordsize="3731,38" path="m7728,1468l11458,1468m8243,1505l8243,1468e" filled="false" stroked="true" strokeweight=".366pt" strokecolor="#000000">
              <v:path arrowok="t"/>
              <v:stroke dashstyle="solid"/>
            </v:shape>
            <v:shape style="position:absolute;left:8092;top:-1263;width:1888;height:2914" type="#_x0000_t75" stroked="false">
              <v:imagedata r:id="rId30" o:title=""/>
            </v:shape>
            <v:shape style="position:absolute;left:1800;top:4058;width:1931;height:38" coordorigin="1800,4058" coordsize="1931,38" path="m9528,1505l9528,1468m10172,1505l10172,1468m10815,1505l10815,1468m11458,1505l11458,1468e" filled="false" stroked="true" strokeweight=".366pt" strokecolor="#000000">
              <v:path arrowok="t"/>
              <v:stroke dashstyle="solid"/>
            </v:shape>
            <v:shape style="position:absolute;left:8175;top:1574;width:3352;height:76" coordorigin="8176,1575" coordsize="3352,76" path="m8224,1621l8224,1604,8224,1599,8221,1591,8220,1587,8217,1582,8216,1581,8215,1580,8215,1625,8213,1633,8208,1641,8204,1643,8196,1643,8192,1641,8187,1633,8185,1625,8185,1599,8187,1592,8190,1588,8192,1584,8196,1582,8204,1582,8208,1584,8213,1592,8215,1599,8215,1625,8215,1580,8214,1579,8208,1576,8204,1575,8195,1575,8190,1576,8183,1582,8180,1586,8177,1597,8176,1604,8176,1627,8178,1637,8183,1643,8187,1648,8193,1651,8206,1651,8210,1649,8217,1643,8217,1643,8220,1639,8223,1628,8224,1621m8247,1639l8237,1639,8237,1649,8247,1649,8247,1639m8312,1617l8310,1611,8307,1608,8304,1605,8301,1602,8296,1600,8284,1600,8280,1602,8275,1605,8279,1585,8309,1585,8309,1576,8272,1576,8265,1614,8273,1615,8275,1613,8277,1611,8281,1609,8284,1608,8292,1608,8295,1610,8301,1616,8303,1620,8303,1631,8301,1635,8298,1638,8295,1641,8291,1643,8283,1643,8280,1642,8275,1637,8274,1634,8273,1629,8263,1630,8264,1636,8266,1641,8275,1649,8280,1651,8295,1651,8302,1648,8305,1643,8311,1637,8312,1631,8312,1617m9495,1575l9489,1575,9488,1578,9485,1581,9478,1588,9473,1591,9468,1593,9468,1602,9471,1601,9474,1600,9481,1595,9484,1593,9486,1591,9486,1649,9495,1649,9495,1591,9495,1575m9532,1639l9522,1639,9522,1649,9532,1649,9532,1639m9598,1617l9595,1611,9592,1608,9589,1605,9586,1602,9581,1600,9570,1600,9565,1602,9560,1605,9564,1585,9594,1585,9594,1576,9557,1576,9550,1614,9558,1615,9560,1613,9562,1611,9566,1609,9569,1608,9577,1608,9581,1610,9586,1616,9588,1620,9588,1631,9586,1635,9580,1641,9577,1643,9568,1643,9565,1642,9560,1637,9559,1634,9558,1629,9548,1630,9549,1636,9551,1641,9560,1649,9565,1651,9580,1651,9587,1648,9590,1643,9596,1637,9598,1631,9598,1617m10152,1641l10115,1641,10116,1639,10118,1637,10121,1634,10124,1631,10130,1626,10136,1621,10141,1616,10147,1610,10149,1607,10151,1601,10152,1599,10152,1589,10150,1585,10147,1582,10141,1577,10136,1575,10122,1575,10116,1577,10108,1584,10105,1589,10105,1590,10104,1596,10114,1597,10114,1593,10115,1589,10121,1584,10124,1582,10133,1582,10136,1584,10141,1589,10142,1592,10142,1599,10141,1602,10135,1610,10130,1615,10116,1626,10113,1630,10107,1636,10105,1640,10103,1645,10103,1647,10103,1649,10152,1649,10152,1641m10175,1639l10165,1639,10165,1649,10175,1649,10175,1639m10240,1621l10240,1604,10239,1599,10237,1591,10235,1587,10232,1582,10232,1581,10230,1580,10230,1625,10229,1633,10223,1641,10220,1643,10211,1643,10208,1641,10202,1633,10201,1625,10201,1599,10202,1592,10205,1588,10208,1584,10211,1582,10220,1582,10223,1584,10229,1592,10230,1599,10230,1625,10230,1580,10229,1579,10223,1576,10219,1575,10210,1575,10206,1576,10198,1582,10196,1586,10192,1597,10191,1604,10191,1627,10194,1637,10199,1643,10203,1648,10208,1651,10221,1651,10225,1649,10233,1643,10233,1643,10235,1639,10239,1628,10240,1621m10795,1641l10759,1641,10760,1639,10761,1637,10764,1634,10768,1631,10774,1626,10780,1621,10785,1616,10790,1610,10792,1607,10795,1601,10795,1599,10795,1589,10793,1585,10791,1582,10785,1577,10779,1575,10765,1575,10759,1577,10751,1584,10749,1589,10749,1590,10748,1596,10757,1597,10757,1593,10759,1589,10764,1584,10768,1582,10776,1582,10779,1584,10785,1589,10786,1592,10786,1599,10784,1602,10779,1610,10773,1615,10760,1626,10756,1630,10751,1636,10749,1640,10747,1645,10746,1647,10746,1649,10795,1649,10795,1641m10819,1639l10809,1639,10809,1649,10819,1649,10819,1639m10884,1617l10882,1611,10879,1608,10875,1605,10873,1602,10867,1600,10856,1600,10851,1602,10847,1605,10851,1585,10881,1585,10881,1576,10844,1576,10836,1614,10845,1615,10846,1613,10848,1611,10853,1609,10856,1608,10863,1608,10867,1610,10873,1616,10874,1620,10874,1631,10873,1635,10867,1641,10863,1643,10855,1643,10852,1642,10847,1637,10845,1634,10844,1629,10835,1630,10835,1636,10838,1641,10846,1649,10852,1651,10867,1651,10873,1648,10877,1643,10882,1637,10884,1631,10884,1617m11440,1623l11439,1619,11435,1613,11434,1612,11430,1610,11426,1609,11429,1608,11431,1606,11432,1605,11435,1600,11436,1597,11436,1591,11435,1587,11432,1582,11432,1581,11429,1579,11422,1576,11419,1575,11409,1575,11404,1576,11396,1583,11393,1588,11392,1594,11401,1596,11402,1591,11404,1588,11404,1588,11408,1583,11411,1582,11418,1582,11421,1583,11424,1586,11426,1588,11427,1591,11427,1598,11425,1601,11419,1605,11416,1606,11416,1606,11411,1606,11410,1606,11409,1614,11412,1613,11414,1613,11420,1613,11423,1614,11429,1620,11430,1623,11430,1632,11429,1636,11423,1642,11419,1643,11411,1643,11408,1642,11403,1637,11401,1634,11400,1628,11391,1630,11392,1636,11394,1641,11403,1649,11408,1651,11422,1651,11428,1648,11434,1643,11438,1639,11440,1634,11440,1623m11463,1639l11452,1639,11452,1649,11463,1649,11463,1639m11527,1621l11527,1604,11527,1599,11524,1591,11523,1587,11520,1582,11519,1581,11518,1580,11518,1625,11516,1633,11511,1641,11507,1643,11499,1643,11495,1641,11489,1633,11488,1625,11488,1599,11490,1592,11493,1588,11495,1584,11499,1582,11507,1582,11511,1584,11516,1592,11517,1599,11518,1625,11518,1580,11516,1579,11510,1576,11507,1575,11497,1575,11493,1576,11486,1582,11483,1586,11480,1597,11479,1604,11479,1627,11481,1637,11490,1648,11496,1651,11508,1651,11513,1649,11520,1643,11520,1643,11523,1639,11525,1633,11526,1628,11527,1621e" filled="true" fillcolor="#000000" stroked="false">
              <v:path arrowok="t"/>
              <v:fill type="solid"/>
            </v:shape>
            <v:shape style="position:absolute;left:6338;top:-941;width:840;height:201" type="#_x0000_t75" stroked="false">
              <v:imagedata r:id="rId31" o:title=""/>
            </v:shape>
            <v:shape style="position:absolute;left:6318;top:-1275;width:1445;height:2742" type="#_x0000_t75" stroked="false">
              <v:imagedata r:id="rId32" o:title=""/>
            </v:shape>
            <v:shape style="position:absolute;left:7829;top:-57;width:324;height:156" type="#_x0000_t75" stroked="false">
              <v:imagedata r:id="rId33" o:title=""/>
            </v:shape>
            <v:shape style="position:absolute;left:1626;top:3510;width:1663;height:76" coordorigin="1627,3510" coordsize="1663,76" path="m10324,-420l9616,-420m9616,-382l9616,-458m10324,-420l11278,-420m11278,-382l11278,-458e" filled="false" stroked="true" strokeweight=".366pt" strokecolor="#000000">
              <v:path arrowok="t"/>
              <v:stroke dashstyle="solid"/>
            </v:shape>
            <v:rect style="position:absolute;left:10296;top:-448;width:56;height:56" filled="true" fillcolor="#000000" stroked="false">
              <v:fill type="solid"/>
            </v:rect>
            <v:shape style="position:absolute;left:10296;top:-448;width:56;height:28" coordorigin="10296,-447" coordsize="56,28" path="m10296,-447l10351,-447,10324,-420,10296,-447xe" filled="false" stroked="true" strokeweight=".366pt" strokecolor="#000000">
              <v:path arrowok="t"/>
              <v:stroke dashstyle="solid"/>
            </v:shape>
            <v:shape style="position:absolute;left:10296;top:-420;width:56;height:28" coordorigin="10296,-420" coordsize="56,28" path="m10324,-420l10296,-392,10351,-392,10324,-420xe" filled="true" fillcolor="#000000" stroked="false">
              <v:path arrowok="t"/>
              <v:fill type="solid"/>
            </v:shape>
            <v:shape style="position:absolute;left:10296;top:-420;width:56;height:28" coordorigin="10296,-420" coordsize="56,28" path="m10296,-392l10351,-392,10324,-420,10296,-392xe" filled="false" stroked="true" strokeweight=".366pt" strokecolor="#000000">
              <v:path arrowok="t"/>
              <v:stroke dashstyle="solid"/>
            </v:shape>
            <v:shape style="position:absolute;left:6317;top:655;width:400;height:220" type="#_x0000_t75" stroked="false">
              <v:imagedata r:id="rId34" o:title=""/>
            </v:shape>
            <w10:wrap type="none"/>
          </v:group>
        </w:pict>
      </w:r>
      <w:r>
        <w:rPr>
          <w:w w:val="99"/>
          <w:position w:val="3"/>
          <w:sz w:val="17"/>
          <w:u w:val="single"/>
        </w:rPr>
        <w:t> </w:t>
      </w:r>
      <w:r>
        <w:rPr>
          <w:position w:val="3"/>
          <w:sz w:val="17"/>
          <w:u w:val="single"/>
        </w:rPr>
        <w:t> </w:t>
      </w:r>
      <w:r>
        <w:rPr>
          <w:position w:val="3"/>
          <w:sz w:val="17"/>
        </w:rPr>
        <w:tab/>
        <w:t>norte</w:t>
        <w:tab/>
      </w:r>
      <w:r>
        <w:rPr>
          <w:spacing w:val="-6"/>
          <w:position w:val="2"/>
          <w:sz w:val="17"/>
        </w:rPr>
        <w:t>N-CH2CH2CH2CH2</w:t>
      </w:r>
      <w:r>
        <w:rPr>
          <w:spacing w:val="-6"/>
          <w:position w:val="2"/>
          <w:sz w:val="17"/>
          <w:vertAlign w:val="baseline"/>
        </w:rPr>
        <w:t>O</w:t>
        <w:tab/>
      </w:r>
      <w:r>
        <w:rPr>
          <w:position w:val="0"/>
          <w:sz w:val="17"/>
          <w:vertAlign w:val="baseline"/>
        </w:rPr>
        <w:t>norte </w:t>
      </w:r>
      <w:r>
        <w:rPr>
          <w:sz w:val="17"/>
          <w:vertAlign w:val="baseline"/>
        </w:rPr>
        <w:t>O</w:t>
      </w:r>
    </w:p>
    <w:p>
      <w:pPr>
        <w:spacing w:line="164" w:lineRule="exact" w:before="0"/>
        <w:ind w:left="0" w:right="3433" w:firstLine="0"/>
        <w:jc w:val="center"/>
        <w:rPr>
          <w:sz w:val="17"/>
        </w:rPr>
      </w:pPr>
      <w:r>
        <w:rPr>
          <w:w w:val="99"/>
          <w:sz w:val="17"/>
        </w:rPr>
        <w:t>H</w:t>
      </w:r>
    </w:p>
    <w:p>
      <w:pPr>
        <w:pStyle w:val="BodyText"/>
        <w:spacing w:line="216" w:lineRule="auto" w:before="66"/>
        <w:ind w:left="140" w:right="6238"/>
        <w:jc w:val="both"/>
      </w:pPr>
      <w:r>
        <w:rPr>
          <w:w w:val="90"/>
        </w:rPr>
        <w:t>ABILIFY Mantenim (aripiprazol) es una suspensión inyectable de liberación prolongada disponible en 400 mg o 300 mg de resistencia jeringas precargadas de cámara doble y viales de fuerza 300 mg 400 mg o. Los puntos fuertes marcadas se calculan en base a la forma anhidra (aripiprazol). Los ingredientes inactivos (por dosis administrada) para 400 mg y 300 mg de productos de fuerza, respectivamente, incluyen sodio carboximetil celulosa (16,64 mg y 12,48 mg), manitol (83,2 mg y 62,4 mg), sodio monohidrato de fosfato monobásico (1,48 mg y 1,11 mg) e hidróxido de sodio (ajuste del pH).</w:t>
      </w:r>
    </w:p>
    <w:p>
      <w:pPr>
        <w:pStyle w:val="Heading3"/>
        <w:numPr>
          <w:ilvl w:val="0"/>
          <w:numId w:val="25"/>
        </w:numPr>
        <w:tabs>
          <w:tab w:pos="559" w:val="left" w:leader="none"/>
          <w:tab w:pos="560" w:val="left" w:leader="none"/>
        </w:tabs>
        <w:spacing w:line="240" w:lineRule="auto" w:before="53" w:after="0"/>
        <w:ind w:left="560" w:right="0" w:hanging="420"/>
        <w:jc w:val="left"/>
      </w:pPr>
      <w:r>
        <w:rPr/>
        <w:drawing>
          <wp:anchor distT="0" distB="0" distL="0" distR="0" allowOverlap="1" layoutInCell="1" locked="0" behindDoc="0" simplePos="0" relativeHeight="1456">
            <wp:simplePos x="0" y="0"/>
            <wp:positionH relativeFrom="page">
              <wp:posOffset>5151709</wp:posOffset>
            </wp:positionH>
            <wp:positionV relativeFrom="paragraph">
              <wp:posOffset>120987</wp:posOffset>
            </wp:positionV>
            <wp:extent cx="1746980" cy="68018"/>
            <wp:effectExtent l="0" t="0" r="0" b="0"/>
            <wp:wrapNone/>
            <wp:docPr id="39" name="image25.png" descr=""/>
            <wp:cNvGraphicFramePr>
              <a:graphicFrameLocks noChangeAspect="1"/>
            </wp:cNvGraphicFramePr>
            <a:graphic>
              <a:graphicData uri="http://schemas.openxmlformats.org/drawingml/2006/picture">
                <pic:pic>
                  <pic:nvPicPr>
                    <pic:cNvPr id="40" name="image25.png"/>
                    <pic:cNvPicPr/>
                  </pic:nvPicPr>
                  <pic:blipFill>
                    <a:blip r:embed="rId35" cstate="print"/>
                    <a:stretch>
                      <a:fillRect/>
                    </a:stretch>
                  </pic:blipFill>
                  <pic:spPr>
                    <a:xfrm>
                      <a:off x="0" y="0"/>
                      <a:ext cx="1746980" cy="68018"/>
                    </a:xfrm>
                    <a:prstGeom prst="rect">
                      <a:avLst/>
                    </a:prstGeom>
                  </pic:spPr>
                </pic:pic>
              </a:graphicData>
            </a:graphic>
          </wp:anchor>
        </w:drawing>
      </w:r>
      <w:r>
        <w:rPr>
          <w:w w:val="90"/>
        </w:rPr>
        <w:t>FARMACOLOGÍA CLÍNICA</w:t>
      </w:r>
    </w:p>
    <w:p>
      <w:pPr>
        <w:pStyle w:val="ListParagraph"/>
        <w:numPr>
          <w:ilvl w:val="1"/>
          <w:numId w:val="25"/>
        </w:numPr>
        <w:tabs>
          <w:tab w:pos="560" w:val="left" w:leader="none"/>
        </w:tabs>
        <w:spacing w:line="182" w:lineRule="exact" w:before="24" w:after="0"/>
        <w:ind w:left="560" w:right="0" w:hanging="420"/>
        <w:jc w:val="left"/>
        <w:rPr>
          <w:b/>
          <w:sz w:val="16"/>
        </w:rPr>
      </w:pPr>
      <w:r>
        <w:rPr>
          <w:b/>
          <w:w w:val="95"/>
          <w:sz w:val="16"/>
        </w:rPr>
        <w:t>Mecanismo de acción</w:t>
      </w:r>
    </w:p>
    <w:p>
      <w:pPr>
        <w:pStyle w:val="BodyText"/>
        <w:spacing w:line="216" w:lineRule="auto" w:before="13"/>
        <w:ind w:left="140" w:right="6237"/>
        <w:jc w:val="both"/>
      </w:pPr>
      <w:r>
        <w:rPr>
          <w:w w:val="90"/>
        </w:rPr>
        <w:t>El mecanismo de acción de aripiprazol en el tratamiento de la esquizofrenia y trastorno bipolar I </w:t>
      </w:r>
      <w:r>
        <w:rPr/>
        <w:t>trastorno es desconocida.</w:t>
      </w:r>
    </w:p>
    <w:p>
      <w:pPr>
        <w:pStyle w:val="BodyText"/>
        <w:spacing w:line="206" w:lineRule="auto" w:before="33"/>
        <w:ind w:left="139" w:right="6237"/>
        <w:jc w:val="both"/>
      </w:pPr>
      <w:r>
        <w:rPr>
          <w:w w:val="95"/>
        </w:rPr>
        <w:t>La eficacia de aripiprazol podría ser mediada a través de una combinación de actividad agonista parcial en D2 de la dopamina y la serotonina receptores 5-HT1A y el antagonista </w:t>
      </w:r>
      <w:r>
        <w:rPr/>
        <w:t>actividad en los receptores 5-HT2A.</w:t>
      </w:r>
    </w:p>
    <w:p>
      <w:pPr>
        <w:spacing w:after="0" w:line="206" w:lineRule="auto"/>
        <w:jc w:val="both"/>
        <w:sectPr>
          <w:type w:val="continuous"/>
          <w:pgSz w:w="12240" w:h="15840"/>
          <w:pgMar w:top="600" w:bottom="280" w:left="580" w:right="0"/>
        </w:sectPr>
      </w:pPr>
    </w:p>
    <w:p>
      <w:pPr>
        <w:pStyle w:val="Heading3"/>
        <w:tabs>
          <w:tab w:pos="5659" w:val="left" w:leader="none"/>
        </w:tabs>
        <w:spacing w:before="166"/>
      </w:pPr>
      <w:r>
        <w:rPr/>
        <w:pict>
          <v:group style="position:absolute;margin-left:36.1516pt;margin-top:21.357109pt;width:263.150pt;height:157.75pt;mso-position-horizontal-relative:page;mso-position-vertical-relative:paragraph;z-index:1552" coordorigin="723,427" coordsize="5263,3155">
            <v:shape style="position:absolute;left:0;top:14961;width:3731;height:38" coordorigin="0,14961" coordsize="3731,38" path="m2186,3399l5917,3399m2701,3436l2701,3399e" filled="false" stroked="true" strokeweight=".366pt" strokecolor="#000000">
              <v:path arrowok="t"/>
              <v:stroke dashstyle="solid"/>
            </v:shape>
            <v:shape style="position:absolute;left:723;top:427;width:3989;height:3155" type="#_x0000_t75" stroked="false">
              <v:imagedata r:id="rId36" o:title=""/>
            </v:shape>
            <v:shape style="position:absolute;left:1800;top:14961;width:1931;height:38" coordorigin="1800,14961" coordsize="1931,38" path="m3987,3436l3987,3399m4630,3436l4630,3399m5273,3436l5273,3399m5917,3436l5917,3399e" filled="false" stroked="true" strokeweight=".366pt" strokecolor="#000000">
              <v:path arrowok="t"/>
              <v:stroke dashstyle="solid"/>
            </v:shape>
            <v:shape style="position:absolute;left:2634;top:3506;width:3352;height:76" coordorigin="2634,3506" coordsize="3352,76" path="m2683,3553l2683,3535,2682,3531,2680,3522,2678,3518,2675,3514,2674,3512,2673,3511,2673,3556,2672,3564,2666,3572,2663,3574,2654,3574,2651,3572,2645,3564,2644,3556,2644,3531,2645,3523,2651,3515,2654,3514,2663,3514,2666,3516,2672,3524,2673,3531,2673,3556,2673,3511,2672,3510,2666,3507,2662,3506,2653,3506,2649,3508,2641,3513,2639,3517,2635,3528,2634,3535,2634,3558,2637,3568,2642,3575,2646,3579,2651,3582,2664,3582,2668,3580,2676,3575,2676,3574,2678,3570,2682,3560,2683,3553m2706,3570l2695,3570,2695,3581,2706,3581,2706,3570m2771,3548l2769,3543,2765,3539,2762,3536,2760,3534,2754,3531,2743,3531,2738,3533,2734,3536,2738,3516,2767,3516,2767,3507,2730,3507,2723,3546,2732,3547,2733,3544,2735,3543,2740,3540,2742,3539,2750,3539,2754,3541,2760,3547,2761,3551,2761,3562,2760,3566,2754,3573,2750,3574,2742,3574,2739,3573,2734,3569,2732,3565,2731,3560,2722,3561,2722,3567,2725,3572,2733,3580,2739,3582,2754,3582,2760,3579,2764,3574,2769,3568,2771,3562,2771,3548m3954,3506l3948,3506,3946,3509,3944,3513,3936,3519,3931,3522,3927,3525,3926,3534,3929,3533,3932,3531,3940,3527,3942,3525,3945,3523,3945,3581,3954,3581,3954,3523,3954,3506m3991,3570l3980,3570,3980,3581,3991,3581,3991,3570m4056,3548l4054,3543,4051,3539,4047,3536,4045,3534,4039,3531,4028,3531,4023,3533,4019,3536,4023,3516,4052,3516,4052,3507,4016,3507,4008,3546,4017,3547,4018,3544,4020,3543,4025,3540,4027,3539,4035,3539,4039,3541,4045,3547,4046,3551,4046,3562,4045,3566,4039,3573,4035,3574,4027,3574,4024,3573,4019,3569,4017,3565,4016,3560,4007,3561,4007,3567,4010,3572,4018,3580,4024,3582,4039,3582,4045,3579,4049,3574,4054,3568,4056,3562,4056,3548m4610,3572l4574,3572,4575,3570,4576,3569,4579,3565,4583,3562,4588,3557,4595,3552,4599,3548,4605,3541,4607,3538,4610,3533,4610,3530,4610,3521,4608,3516,4606,3514,4600,3508,4594,3506,4580,3506,4574,3508,4566,3515,4564,3520,4563,3521,4563,3528,4572,3529,4572,3524,4574,3520,4579,3515,4582,3514,4591,3514,4594,3515,4599,3520,4601,3523,4601,3530,4599,3534,4594,3541,4588,3547,4575,3558,4571,3561,4565,3568,4563,3571,4561,3576,4561,3578,4561,3581,4610,3581,4610,3572m4634,3570l4623,3570,4623,3581,4634,3581,4634,3570m4698,3553l4698,3535,4698,3531,4695,3522,4694,3518,4691,3514,4690,3512,4689,3511,4689,3556,4687,3564,4682,3572,4678,3574,4670,3574,4666,3572,4660,3564,4659,3556,4659,3531,4661,3523,4666,3515,4670,3514,4678,3514,4682,3516,4687,3524,4689,3531,4689,3556,4689,3511,4687,3510,4681,3507,4678,3506,4668,3506,4664,3508,4657,3513,4654,3517,4651,3528,4650,3535,4650,3558,4652,3568,4661,3579,4667,3582,4679,3582,4684,3580,4691,3575,4691,3574,4694,3570,4697,3560,4698,3553m5254,3572l5217,3572,5218,3570,5220,3569,5223,3565,5226,3562,5232,3557,5238,3552,5243,3548,5249,3541,5251,3538,5253,3533,5254,3530,5254,3521,5252,3516,5249,3514,5243,3508,5238,3506,5223,3506,5218,3508,5209,3515,5207,3520,5207,3521,5206,3528,5216,3529,5216,3524,5217,3520,5222,3515,5226,3514,5234,3514,5238,3515,5243,3520,5244,3523,5244,3530,5243,3534,5237,3541,5232,3547,5218,3558,5214,3561,5209,3568,5207,3571,5206,3574,5205,3576,5205,3578,5205,3581,5254,3581,5254,3572m5277,3570l5267,3570,5267,3581,5277,3581,5277,3570m5342,3548l5340,3543,5337,3539,5334,3536,5331,3534,5326,3531,5314,3531,5310,3533,5305,3536,5309,3516,5339,3516,5339,3507,5302,3507,5295,3546,5303,3547,5305,3544,5307,3543,5311,3540,5314,3539,5322,3539,5325,3541,5331,3547,5333,3551,5333,3562,5331,3566,5325,3573,5321,3574,5313,3574,5310,3573,5305,3569,5303,3565,5303,3560,5293,3561,5294,3567,5296,3572,5305,3580,5310,3582,5325,3582,5332,3579,5335,3574,5340,3568,5342,3562,5342,3548m5898,3554l5897,3550,5893,3544,5892,3544,5889,3541,5884,3540,5888,3539,5889,3538,5890,3537,5894,3532,5895,3529,5895,3522,5894,3519,5891,3514,5890,3513,5888,3510,5881,3507,5877,3506,5867,3506,5862,3508,5858,3511,5854,3515,5852,3519,5851,3525,5860,3527,5860,3523,5862,3519,5867,3515,5870,3514,5877,3514,5880,3515,5882,3517,5884,3519,5885,3522,5885,3529,5884,3533,5878,3537,5874,3538,5874,3538,5869,3538,5869,3537,5868,3545,5870,3545,5872,3544,5878,3544,5882,3546,5887,3551,5889,3555,5889,3563,5887,3567,5881,3573,5878,3574,5870,3574,5867,3573,5862,3569,5860,3565,5859,3560,5850,3561,5850,3567,5853,3572,5861,3580,5867,3582,5881,3582,5887,3580,5892,3574,5896,3571,5898,3565,5898,3554m5921,3570l5911,3570,5911,3581,5921,3581,5921,3570m5985,3553l5985,3535,5985,3531,5983,3522,5981,3518,5978,3514,5977,3512,5976,3511,5976,3556,5975,3564,5969,3572,5965,3574,5957,3574,5954,3572,5948,3564,5946,3556,5947,3531,5948,3523,5954,3515,5957,3514,5965,3514,5969,3516,5975,3524,5976,3531,5976,3556,5976,3511,5975,3510,5969,3507,5965,3506,5956,3506,5951,3508,5944,3513,5942,3517,5938,3528,5937,3535,5937,3558,5939,3568,5948,3579,5954,3582,5967,3582,5971,3580,5978,3575,5978,3574,5981,3570,5985,3560,5985,3553e" filled="true" fillcolor="#000000" stroked="false">
              <v:path arrowok="t"/>
              <v:fill type="solid"/>
            </v:shape>
            <v:shape style="position:absolute;left:796;top:990;width:840;height:201" type="#_x0000_t75" stroked="false">
              <v:imagedata r:id="rId37" o:title=""/>
            </v:shape>
            <v:shape style="position:absolute;left:2329;top:1874;width:253;height:156" type="#_x0000_t75" stroked="false">
              <v:imagedata r:id="rId38" o:title=""/>
            </v:shape>
            <v:shape style="position:absolute;left:775;top:2587;width:400;height:220" type="#_x0000_t75" stroked="false">
              <v:imagedata r:id="rId39" o:title=""/>
            </v:shape>
            <v:rect style="position:absolute;left:4724;top:639;width:10;height:75" filled="true" fillcolor="#000000" stroked="false">
              <v:fill type="solid"/>
            </v:rect>
            <w10:wrap type="none"/>
          </v:group>
        </w:pict>
      </w:r>
      <w:r>
        <w:rPr/>
        <w:pict>
          <v:group style="position:absolute;margin-left:313.81601pt;margin-top:22.046209pt;width:263.350pt;height:142.75pt;mso-position-horizontal-relative:page;mso-position-vertical-relative:paragraph;z-index:1576" coordorigin="6276,441" coordsize="5267,2855">
            <v:shape style="position:absolute;left:0;top:14961;width:3618;height:36" coordorigin="0,14961" coordsize="3618,36" path="m7926,3118l11543,3118m8393,3153l8393,3118e" filled="false" stroked="true" strokeweight=".355pt" strokecolor="#000000">
              <v:path arrowok="t"/>
              <v:stroke dashstyle="solid"/>
            </v:shape>
            <v:shape style="position:absolute;left:7989;top:440;width:3338;height:2855" type="#_x0000_t75" stroked="false">
              <v:imagedata r:id="rId40" o:title=""/>
            </v:shape>
            <v:shape style="position:absolute;left:1633;top:14961;width:1750;height:36" coordorigin="1634,14961" coordsize="1750,36" path="m9560,3153l9560,3118m10143,3153l10143,3118m10726,3153l10726,3118m11309,3153l11309,3118e" filled="false" stroked="true" strokeweight=".355pt" strokecolor="#000000">
              <v:path arrowok="t"/>
              <v:stroke dashstyle="solid"/>
            </v:shape>
            <v:shape style="position:absolute;left:8328;top:3221;width:3048;height:74" coordorigin="8328,3221" coordsize="3048,74" path="m8375,3267l8375,3250,8375,3245,8372,3237,8371,3233,8368,3229,8367,3228,8366,3227,8366,3270,8365,3278,8359,3286,8356,3288,8348,3288,8344,3286,8339,3278,8337,3270,8337,3245,8339,3238,8342,3234,8344,3231,8347,3229,8356,3229,8359,3231,8365,3239,8366,3245,8366,3270,8366,3227,8365,3225,8359,3222,8355,3221,8346,3221,8342,3223,8335,3228,8332,3232,8329,3243,8328,3250,8328,3272,8330,3282,8339,3292,8345,3295,8357,3295,8361,3294,8365,3291,8368,3288,8368,3288,8371,3284,8374,3274,8375,3267m8397,3284l8387,3284,8387,3294,8397,3294,8397,3284m8461,3262l8458,3257,8455,3254,8452,3250,8450,3248,8445,3246,8433,3246,8429,3247,8425,3250,8428,3231,8457,3231,8457,3223,8421,3223,8414,3260,8423,3261,8424,3259,8426,3257,8430,3254,8433,3254,8440,3254,8444,3255,8447,3258,8450,3261,8451,3265,8451,3276,8450,3280,8444,3286,8440,3288,8432,3288,8429,3287,8424,3282,8423,3279,8422,3274,8413,3275,8413,3281,8416,3286,8424,3293,8429,3295,8444,3295,8450,3292,8454,3288,8459,3281,8461,3276,8461,3262m9528,3221l9522,3221,9520,3225,9518,3228,9510,3234,9506,3237,9501,3239,9501,3248,9504,3247,9507,3246,9514,3242,9517,3239,9519,3237,9519,3294,9528,3294,9528,3237,9528,3221m9564,3284l9553,3284,9553,3294,9564,3294,9564,3284m9627,3262l9625,3257,9621,3254,9618,3250,9616,3248,9611,3246,9600,3246,9595,3247,9591,3250,9595,3231,9623,3231,9623,3223,9587,3223,9580,3260,9589,3261,9590,3259,9592,3257,9596,3254,9599,3254,9607,3254,9610,3255,9616,3261,9617,3265,9617,3276,9616,3280,9613,3283,9610,3286,9606,3288,9599,3288,9595,3287,9591,3282,9589,3279,9588,3274,9579,3275,9579,3281,9582,3286,9590,3293,9595,3295,9610,3295,9616,3292,9620,3288,9625,3281,9627,3276,9627,3262m10124,3285l10089,3285,10090,3284,10091,3282,10094,3279,10097,3276,10109,3266,10114,3262,10119,3256,10121,3253,10123,3247,10124,3245,10124,3235,10122,3231,10120,3229,10114,3223,10108,3221,10095,3221,10089,3223,10081,3230,10079,3235,10079,3236,10078,3242,10087,3243,10087,3239,10088,3235,10094,3230,10097,3229,10105,3229,10109,3230,10114,3235,10115,3238,10115,3245,10113,3248,10108,3256,10103,3261,10090,3271,10086,3275,10081,3281,10079,3284,10077,3290,10076,3292,10076,3294,10124,3294,10124,3285m10147,3284l10137,3284,10137,3294,10147,3294,10147,3284m10209,3267l10209,3250,10209,3245,10206,3237,10205,3233,10202,3229,10201,3228,10200,3227,10200,3270,10199,3278,10193,3286,10190,3288,10182,3288,10178,3286,10173,3278,10171,3270,10171,3245,10173,3238,10176,3234,10178,3231,10182,3229,10190,3229,10193,3231,10199,3239,10200,3245,10200,3270,10200,3227,10199,3225,10193,3222,10190,3221,10180,3221,10176,3223,10169,3228,10167,3232,10163,3243,10162,3250,10162,3272,10165,3282,10169,3288,10173,3292,10179,3295,10191,3295,10195,3294,10199,3291,10202,3288,10202,3288,10205,3284,10208,3274,10209,3267m10707,3285l10672,3285,10673,3284,10674,3282,10677,3279,10680,3276,10686,3271,10692,3266,10697,3262,10702,3256,10704,3253,10706,3247,10707,3245,10707,3235,10705,3231,10703,3229,10697,3223,10691,3221,10678,3221,10672,3223,10664,3230,10662,3235,10662,3236,10661,3242,10670,3243,10670,3239,10672,3235,10677,3230,10680,3229,10688,3229,10692,3230,10697,3235,10698,3238,10698,3245,10697,3248,10694,3252,10691,3256,10686,3261,10673,3271,10669,3275,10664,3281,10662,3284,10660,3290,10659,3292,10659,3294,10707,3294,10707,3285m10730,3284l10720,3284,10720,3294,10730,3294,10730,3284m10793,3262l10791,3257,10788,3254,10785,3250,10782,3248,10777,3246,10766,3246,10761,3247,10757,3250,10761,3231,10790,3231,10790,3223,10754,3223,10747,3260,10755,3261,10756,3259,10758,3257,10763,3254,10765,3254,10773,3254,10777,3255,10779,3258,10782,3261,10784,3265,10784,3276,10782,3280,10776,3286,10773,3288,10765,3288,10762,3287,10757,3282,10755,3279,10755,3274,10745,3275,10746,3281,10748,3286,10757,3293,10762,3295,10776,3295,10783,3292,10786,3288,10791,3281,10793,3276,10793,3262m11291,3268l11290,3264,11286,3259,11286,3258,11282,3256,11278,3255,11281,3253,11283,3252,11284,3251,11287,3246,11288,3243,11288,3237,11287,3234,11284,3229,11283,3228,11281,3226,11274,3222,11271,3221,11261,3221,11256,3223,11249,3230,11246,3234,11245,3240,11254,3242,11255,3237,11256,3234,11256,3234,11261,3230,11264,3229,11270,3229,11273,3230,11278,3234,11279,3237,11279,3244,11277,3247,11271,3251,11268,3252,11268,3252,11263,3252,11263,3252,11262,3260,11264,3259,11266,3259,11272,3259,11275,3260,11281,3265,11282,3269,11282,3277,11281,3280,11275,3286,11271,3288,11264,3288,11261,3287,11256,3282,11254,3279,11253,3274,11244,3275,11245,3281,11247,3286,11256,3293,11261,3295,11274,3295,11280,3293,11285,3288,11289,3284,11291,3279,11291,3268m11314,3284l11303,3284,11303,3294,11314,3294,11314,3284m11376,3267l11376,3250,11375,3245,11373,3237,11372,3233,11369,3229,11368,3228,11367,3227,11367,3270,11365,3278,11360,3286,11356,3288,11348,3288,11345,3286,11339,3278,11338,3270,11338,3245,11340,3238,11343,3234,11345,3231,11348,3229,11356,3229,11360,3231,11365,3239,11367,3245,11367,3270,11367,3227,11366,3225,11360,3222,11356,3221,11347,3221,11343,3223,11336,3228,11333,3232,11330,3243,11329,3250,11329,3272,11331,3282,11340,3292,11345,3295,11358,3295,11362,3294,11365,3291,11369,3288,11369,3288,11372,3284,11375,3274,11376,3267e" filled="true" fillcolor="#000000" stroked="false">
              <v:path arrowok="t"/>
              <v:fill type="solid"/>
            </v:shape>
            <v:shape style="position:absolute;left:6312;top:1012;width:673;height:195" type="#_x0000_t75" stroked="false">
              <v:imagedata r:id="rId41" o:title=""/>
            </v:shape>
            <v:shape style="position:absolute;left:6314;top:459;width:1646;height:2658" type="#_x0000_t75" stroked="false">
              <v:imagedata r:id="rId42" o:title=""/>
            </v:shape>
            <v:shape style="position:absolute;left:9215;top:1173;width:671;height:152" type="#_x0000_t75" stroked="false">
              <v:imagedata r:id="rId43" o:title=""/>
            </v:shape>
            <v:shape style="position:absolute;left:8593;top:1562;width:730;height:152" type="#_x0000_t75" stroked="false">
              <v:imagedata r:id="rId44" o:title=""/>
            </v:shape>
            <v:shape style="position:absolute;left:6313;top:2705;width:837;height:194" type="#_x0000_t75" stroked="false">
              <v:imagedata r:id="rId45" o:title=""/>
            </v:shape>
            <v:shape style="position:absolute;left:6299;top:1414;width:1032;height:208" type="#_x0000_t75" stroked="false">
              <v:imagedata r:id="rId46" o:title=""/>
            </v:shape>
            <v:shape style="position:absolute;left:6279;top:1882;width:925;height:194" type="#_x0000_t75" stroked="false">
              <v:imagedata r:id="rId47" o:title=""/>
            </v:shape>
            <v:shape style="position:absolute;left:6276;top:2185;width:859;height:74" type="#_x0000_t75" stroked="false">
              <v:imagedata r:id="rId48" o:title=""/>
            </v:shape>
            <v:rect style="position:absolute;left:7144;top:2185;width:9;height:73" filled="true" fillcolor="#000000" stroked="false">
              <v:fill type="solid"/>
            </v:rect>
            <v:shape style="position:absolute;left:6277;top:2403;width:742;height:55" type="#_x0000_t75" stroked="false">
              <v:imagedata r:id="rId49" o:title=""/>
            </v:shape>
            <v:rect style="position:absolute;left:7028;top:2385;width:9;height:73" filled="true" fillcolor="#000000" stroked="false">
              <v:fill type="solid"/>
            </v:rect>
            <w10:wrap type="none"/>
          </v:group>
        </w:pict>
      </w:r>
      <w:r>
        <w:rPr>
          <w:w w:val="90"/>
        </w:rPr>
        <w:t>Figura 20: Los efectos de otros fármacos sobre dehidro-aripiprazol </w:t>
      </w:r>
      <w:r>
        <w:rPr>
          <w:w w:val="90"/>
        </w:rPr>
        <w:t>farmacocinética</w:t>
        <w:tab/>
      </w:r>
      <w:r>
        <w:rPr>
          <w:w w:val="95"/>
        </w:rPr>
        <w:t>Figura 23: Efectos de los factores intrínsecos sobre la farmacocinética dehidro-aripiprazol:</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after="0"/>
        <w:rPr>
          <w:sz w:val="20"/>
        </w:rPr>
        <w:sectPr>
          <w:pgSz w:w="12240" w:h="15840"/>
          <w:pgMar w:header="676" w:footer="367" w:top="860" w:bottom="640" w:left="580" w:right="0"/>
        </w:sectPr>
      </w:pPr>
    </w:p>
    <w:p>
      <w:pPr>
        <w:pStyle w:val="BodyText"/>
        <w:rPr>
          <w:b/>
          <w:sz w:val="20"/>
        </w:rPr>
      </w:pPr>
    </w:p>
    <w:p>
      <w:pPr>
        <w:pStyle w:val="BodyText"/>
        <w:spacing w:before="8"/>
        <w:rPr>
          <w:b/>
          <w:sz w:val="12"/>
        </w:rPr>
      </w:pPr>
    </w:p>
    <w:p>
      <w:pPr>
        <w:pStyle w:val="BodyText"/>
        <w:spacing w:line="107" w:lineRule="exact"/>
        <w:ind w:left="1991"/>
        <w:rPr>
          <w:sz w:val="10"/>
        </w:rPr>
      </w:pPr>
      <w:r>
        <w:rPr>
          <w:position w:val="-1"/>
          <w:sz w:val="10"/>
        </w:rPr>
        <w:drawing>
          <wp:inline distT="0" distB="0" distL="0" distR="0">
            <wp:extent cx="1746719" cy="68008"/>
            <wp:effectExtent l="0" t="0" r="0" b="0"/>
            <wp:docPr id="41" name="image40.png" descr=""/>
            <wp:cNvGraphicFramePr>
              <a:graphicFrameLocks noChangeAspect="1"/>
            </wp:cNvGraphicFramePr>
            <a:graphic>
              <a:graphicData uri="http://schemas.openxmlformats.org/drawingml/2006/picture">
                <pic:pic>
                  <pic:nvPicPr>
                    <pic:cNvPr id="42" name="image40.png"/>
                    <pic:cNvPicPr/>
                  </pic:nvPicPr>
                  <pic:blipFill>
                    <a:blip r:embed="rId50" cstate="print"/>
                    <a:stretch>
                      <a:fillRect/>
                    </a:stretch>
                  </pic:blipFill>
                  <pic:spPr>
                    <a:xfrm>
                      <a:off x="0" y="0"/>
                      <a:ext cx="1746719" cy="68008"/>
                    </a:xfrm>
                    <a:prstGeom prst="rect">
                      <a:avLst/>
                    </a:prstGeom>
                  </pic:spPr>
                </pic:pic>
              </a:graphicData>
            </a:graphic>
          </wp:inline>
        </w:drawing>
      </w:r>
      <w:r>
        <w:rPr>
          <w:position w:val="-1"/>
          <w:sz w:val="10"/>
        </w:rPr>
      </w:r>
    </w:p>
    <w:p>
      <w:pPr>
        <w:pStyle w:val="BodyText"/>
        <w:spacing w:line="216" w:lineRule="auto" w:before="115"/>
        <w:ind w:left="140" w:right="38"/>
        <w:jc w:val="both"/>
      </w:pPr>
      <w:r>
        <w:rPr>
          <w:w w:val="90"/>
        </w:rPr>
        <w:t>Los efectos de ABILIFY en las exposiciones de otros fármacos se resumen en la Figura 21. Una población de análisis PK en pacientes con trastorno depresivo mayor no mostró ningún cambio sustancial en las concentraciones plasmáticas de fluoxetina (20 mg / día o 40 mg / día), CR paroxetina ( 37,5 mg / día o 50 mg / día), o sertralina (100 mg / día o 150 mg / día) dosificado a estado estacionario. Las concentraciones en plasma en estado estacionario de fluoxetina y norfluoxetina se incrementaron en cerca de 18% y 36%, respectivamente, y las concentraciones de paroxetina disminuyeron en aproximadamente un 27%. Las concentraciones plasmáticas en estado de equilibrio de la sertralina y desmetilsertralina no se modificaron sustancialmente cuando estos</w:t>
      </w:r>
      <w:r>
        <w:rPr/>
        <w:t>terapias antidepresivas se administraron conjuntamente con aripiprazol.</w:t>
      </w:r>
    </w:p>
    <w:p>
      <w:pPr>
        <w:pStyle w:val="Heading3"/>
        <w:spacing w:before="69"/>
      </w:pPr>
      <w:r>
        <w:rPr>
          <w:w w:val="90"/>
        </w:rPr>
        <w:t>Figura 21: Los efectos de aripiprazol oral sobre la farmacocinética de otros fármacos</w:t>
      </w:r>
    </w:p>
    <w:p>
      <w:pPr>
        <w:pStyle w:val="BodyText"/>
        <w:spacing w:before="8"/>
        <w:rPr>
          <w:b/>
          <w:sz w:val="8"/>
        </w:rPr>
      </w:pPr>
    </w:p>
    <w:p>
      <w:pPr>
        <w:pStyle w:val="BodyText"/>
        <w:spacing w:line="112" w:lineRule="exact"/>
        <w:ind w:left="318"/>
        <w:rPr>
          <w:sz w:val="11"/>
        </w:rPr>
      </w:pPr>
      <w:r>
        <w:rPr>
          <w:position w:val="-1"/>
          <w:sz w:val="11"/>
        </w:rPr>
        <w:drawing>
          <wp:inline distT="0" distB="0" distL="0" distR="0">
            <wp:extent cx="1122425" cy="71437"/>
            <wp:effectExtent l="0" t="0" r="0" b="0"/>
            <wp:docPr id="43" name="image41.png" descr=""/>
            <wp:cNvGraphicFramePr>
              <a:graphicFrameLocks noChangeAspect="1"/>
            </wp:cNvGraphicFramePr>
            <a:graphic>
              <a:graphicData uri="http://schemas.openxmlformats.org/drawingml/2006/picture">
                <pic:pic>
                  <pic:nvPicPr>
                    <pic:cNvPr id="44" name="image41.png"/>
                    <pic:cNvPicPr/>
                  </pic:nvPicPr>
                  <pic:blipFill>
                    <a:blip r:embed="rId51" cstate="print"/>
                    <a:stretch>
                      <a:fillRect/>
                    </a:stretch>
                  </pic:blipFill>
                  <pic:spPr>
                    <a:xfrm>
                      <a:off x="0" y="0"/>
                      <a:ext cx="1122425" cy="71437"/>
                    </a:xfrm>
                    <a:prstGeom prst="rect">
                      <a:avLst/>
                    </a:prstGeom>
                  </pic:spPr>
                </pic:pic>
              </a:graphicData>
            </a:graphic>
          </wp:inline>
        </w:drawing>
      </w:r>
      <w:r>
        <w:rPr>
          <w:position w:val="-1"/>
          <w:sz w:val="11"/>
        </w:rPr>
      </w:r>
    </w:p>
    <w:p>
      <w:pPr>
        <w:pStyle w:val="BodyText"/>
        <w:spacing w:before="6"/>
        <w:rPr>
          <w:b/>
          <w:sz w:val="8"/>
        </w:rPr>
      </w:pPr>
    </w:p>
    <w:p>
      <w:pPr>
        <w:pStyle w:val="BodyText"/>
        <w:ind w:left="153" w:right="-44"/>
        <w:rPr>
          <w:sz w:val="20"/>
        </w:rPr>
      </w:pPr>
      <w:r>
        <w:rPr>
          <w:sz w:val="20"/>
        </w:rPr>
        <w:pict>
          <v:group style="width:264.05pt;height:142.950pt;mso-position-horizontal-relative:char;mso-position-vertical-relative:line" coordorigin="0,0" coordsize="5281,2859">
            <v:line style="position:absolute" from="1595,2681" to="5214,2681" stroked="true" strokeweight=".355pt" strokecolor="#000000">
              <v:stroke dashstyle="solid"/>
            </v:line>
            <v:line style="position:absolute" from="2094,2717" to="2094,2681" stroked="true" strokeweight=".355pt" strokecolor="#000000">
              <v:stroke dashstyle="solid"/>
            </v:line>
            <v:line style="position:absolute" from="2718,2717" to="2718,2681" stroked="true" strokeweight=".355pt" strokecolor="#000000">
              <v:stroke dashstyle="solid"/>
            </v:line>
            <v:line style="position:absolute" from="3342,2717" to="3342,2681" stroked="true" strokeweight=".355pt" strokecolor="#000000">
              <v:stroke dashstyle="solid"/>
            </v:line>
            <v:line style="position:absolute" from="3966,2717" to="3966,2681" stroked="true" strokeweight=".355pt" strokecolor="#000000">
              <v:stroke dashstyle="solid"/>
            </v:line>
            <v:line style="position:absolute" from="4590,2717" to="4590,2681" stroked="true" strokeweight=".355pt" strokecolor="#000000">
              <v:stroke dashstyle="solid"/>
            </v:line>
            <v:line style="position:absolute" from="5214,2717" to="5214,2681" stroked="true" strokeweight=".355pt" strokecolor="#000000">
              <v:stroke dashstyle="solid"/>
            </v:line>
            <v:shape style="position:absolute;left:2028;top:2785;width:47;height:74" coordorigin="2029,2785" coordsize="47,74" path="m2056,2785l2047,2785,2043,2787,2036,2792,2033,2796,2030,2807,2029,2813,2029,2836,2031,2845,2040,2856,2045,2859,2058,2859,2062,2857,2069,2852,2069,2851,2048,2851,2045,2849,2039,2842,2038,2834,2038,2809,2040,2802,2043,2798,2045,2794,2048,2793,2069,2793,2068,2791,2066,2789,2060,2786,2056,2785xm2069,2793l2056,2793,2060,2794,2065,2802,2067,2809,2067,2834,2065,2842,2060,2849,2056,2851,2069,2851,2072,2848,2075,2837,2076,2830,2076,2813,2075,2809,2073,2801,2072,2797,2069,2793xe" filled="true" fillcolor="#000000" stroked="false">
              <v:path arrowok="t"/>
              <v:fill type="solid"/>
            </v:shape>
            <v:rect style="position:absolute;left:2088;top:2847;width:11;height:11" filled="true" fillcolor="#000000" stroked="false">
              <v:fill type="solid"/>
            </v:rect>
            <v:shape style="position:absolute;left:2113;top:2786;width:48;height:73" coordorigin="2114,2786" coordsize="48,73" path="m2123,2838l2114,2839,2114,2845,2117,2850,2125,2857,2130,2859,2145,2859,2151,2856,2155,2851,2133,2851,2130,2850,2125,2846,2124,2842,2123,2838xm2156,2818l2141,2818,2145,2819,2151,2825,2152,2829,2152,2840,2151,2843,2145,2850,2141,2851,2155,2851,2160,2845,2161,2840,2161,2826,2159,2821,2156,2818xm2158,2786l2122,2786,2115,2823,2124,2825,2125,2822,2127,2821,2131,2818,2134,2818,2156,2818,2153,2814,2125,2814,2129,2795,2158,2795,2158,2786xm2145,2810l2134,2810,2130,2811,2125,2814,2153,2814,2151,2812,2145,2810xe" filled="true" fillcolor="#000000" stroked="false">
              <v:path arrowok="t"/>
              <v:fill type="solid"/>
            </v:shape>
            <v:shape style="position:absolute;left:2659;top:2785;width:27;height:73" coordorigin="2659,2785" coordsize="27,73" path="m2686,2801l2677,2801,2677,2858,2686,2858,2686,2801xm2686,2785l2680,2785,2679,2788,2676,2792,2669,2798,2664,2801,2659,2803,2659,2812,2662,2811,2665,2809,2672,2805,2675,2803,2677,2801,2686,2801,2686,2785xe" filled="true" fillcolor="#000000" stroked="false">
              <v:path arrowok="t"/>
              <v:fill type="solid"/>
            </v:shape>
            <v:rect style="position:absolute;left:2711;top:2847;width:11;height:11" filled="true" fillcolor="#000000" stroked="false">
              <v:fill type="solid"/>
            </v:rect>
            <v:shape style="position:absolute;left:2737;top:2785;width:47;height:74" coordorigin="2737,2785" coordsize="47,74" path="m2765,2785l2756,2785,2751,2787,2744,2792,2742,2796,2738,2807,2737,2813,2737,2836,2740,2845,2748,2856,2754,2859,2766,2859,2771,2857,2774,2854,2777,2852,2778,2851,2757,2851,2753,2849,2748,2842,2746,2834,2747,2809,2748,2802,2751,2798,2753,2794,2757,2793,2777,2793,2776,2791,2774,2789,2768,2786,2765,2785xm2777,2793l2765,2793,2768,2794,2774,2802,2775,2809,2775,2834,2774,2842,2768,2849,2765,2851,2778,2851,2780,2848,2783,2837,2784,2830,2784,2813,2784,2809,2782,2801,2780,2797,2777,2793xe" filled="true" fillcolor="#000000" stroked="false">
              <v:path arrowok="t"/>
              <v:fill type="solid"/>
            </v:shape>
            <v:shape style="position:absolute;left:3283;top:2785;width:27;height:73" coordorigin="3283,2785" coordsize="27,73" path="m3310,2801l3301,2801,3301,2858,3310,2858,3310,2801xm3310,2785l3304,2785,3302,2788,3300,2792,3292,2798,3288,2801,3283,2803,3283,2812,3286,2811,3289,2809,3296,2805,3299,2803,3301,2801,3310,2801,3310,2785xe" filled="true" fillcolor="#000000" stroked="false">
              <v:path arrowok="t"/>
              <v:fill type="solid"/>
            </v:shape>
            <v:rect style="position:absolute;left:3335;top:2847;width:11;height:11" filled="true" fillcolor="#000000" stroked="false">
              <v:fill type="solid"/>
            </v:rect>
            <v:shape style="position:absolute;left:3361;top:2786;width:48;height:73" coordorigin="3361,2786" coordsize="48,73" path="m3370,2838l3361,2839,3362,2845,3364,2850,3372,2857,3378,2859,3392,2859,3399,2856,3402,2851,3381,2851,3378,2850,3373,2846,3371,2842,3370,2838xm3404,2818l3389,2818,3392,2819,3398,2825,3399,2829,3399,2840,3398,2843,3392,2850,3389,2851,3402,2851,3407,2845,3409,2840,3409,2826,3407,2821,3404,2818xm3406,2786l3370,2786,3363,2823,3371,2825,3372,2822,3374,2821,3379,2818,3381,2818,3404,2818,3400,2814,3373,2814,3377,2795,3406,2795,3406,2786xm3393,2810l3382,2810,3377,2811,3373,2814,3400,2814,3398,2812,3393,2810xe" filled="true" fillcolor="#000000" stroked="false">
              <v:path arrowok="t"/>
              <v:fill type="solid"/>
            </v:shape>
            <v:shape style="position:absolute;left:3898;top:2785;width:48;height:73" coordorigin="3899,2785" coordsize="48,73" path="m3942,2793l3928,2793,3931,2794,3934,2796,3936,2799,3937,2801,3937,2808,3936,2812,3930,2819,3925,2824,3912,2835,3909,2839,3903,2845,3901,2848,3899,2853,3899,2855,3899,2858,3947,2858,3947,2849,3911,2849,3912,2847,3914,2846,3917,2843,3920,2840,3932,2830,3936,2826,3942,2819,3944,2816,3946,2811,3946,2808,3946,2799,3945,2795,3942,2793xm3931,2785l3917,2785,3912,2787,3904,2794,3901,2799,3901,2800,3901,2806,3910,2807,3910,2802,3911,2799,3916,2794,3920,2793,3942,2793,3936,2787,3931,2785xe" filled="true" fillcolor="#000000" stroked="false">
              <v:path arrowok="t"/>
              <v:fill type="solid"/>
            </v:shape>
            <v:rect style="position:absolute;left:3959;top:2847;width:11;height:11" filled="true" fillcolor="#000000" stroked="false">
              <v:fill type="solid"/>
            </v:rect>
            <v:shape style="position:absolute;left:3984;top:2785;width:47;height:74" coordorigin="3985,2785" coordsize="47,74" path="m4012,2785l4003,2785,3999,2787,3992,2792,3989,2796,3986,2807,3985,2813,3985,2836,3987,2845,3992,2852,3996,2856,4001,2859,4014,2859,4018,2857,4025,2852,4025,2851,4004,2851,4001,2849,3995,2842,3994,2834,3994,2809,3995,2802,3998,2798,4001,2794,4004,2793,4025,2793,4024,2791,4021,2789,4018,2788,4016,2786,4012,2785xm4025,2793l4012,2793,4016,2794,4021,2802,4023,2809,4023,2834,4021,2842,4016,2849,4012,2851,4025,2851,4027,2848,4031,2837,4032,2830,4032,2813,4031,2809,4029,2801,4028,2797,4025,2793xe" filled="true" fillcolor="#000000" stroked="false">
              <v:path arrowok="t"/>
              <v:fill type="solid"/>
            </v:shape>
            <v:shape style="position:absolute;left:4523;top:2785;width:48;height:73" coordorigin="4523,2785" coordsize="48,73" path="m4566,2793l4552,2793,4555,2794,4560,2799,4562,2801,4562,2808,4560,2812,4555,2819,4549,2824,4537,2835,4533,2839,4527,2845,4525,2848,4523,2853,4523,2855,4523,2858,4571,2858,4571,2849,4536,2849,4536,2847,4538,2846,4541,2843,4544,2840,4556,2830,4560,2826,4566,2819,4568,2816,4570,2811,4571,2808,4571,2799,4569,2795,4566,2793xm4555,2785l4541,2785,4536,2787,4528,2794,4526,2799,4525,2800,4525,2806,4534,2807,4534,2802,4535,2799,4540,2794,4544,2793,4566,2793,4561,2787,4555,2785xe" filled="true" fillcolor="#000000" stroked="false">
              <v:path arrowok="t"/>
              <v:fill type="solid"/>
            </v:shape>
            <v:rect style="position:absolute;left:4583;top:2847;width:11;height:11" filled="true" fillcolor="#000000" stroked="false">
              <v:fill type="solid"/>
            </v:rect>
            <v:shape style="position:absolute;left:4609;top:2786;width:48;height:73" coordorigin="4609,2786" coordsize="48,73" path="m4618,2838l4609,2839,4610,2845,4612,2850,4620,2857,4626,2859,4640,2859,4646,2856,4650,2851,4629,2851,4626,2850,4621,2846,4619,2842,4618,2838xm4652,2818l4637,2818,4640,2819,4646,2825,4647,2829,4647,2840,4646,2843,4640,2850,4636,2851,4650,2851,4655,2845,4657,2840,4657,2826,4655,2821,4652,2818xm4653,2786l4618,2786,4611,2823,4619,2825,4620,2822,4622,2821,4627,2818,4629,2818,4652,2818,4648,2814,4621,2814,4625,2795,4653,2795,4653,2786xm4641,2810l4630,2810,4625,2811,4621,2814,4648,2814,4646,2812,4641,2810xe" filled="true" fillcolor="#000000" stroked="false">
              <v:path arrowok="t"/>
              <v:fill type="solid"/>
            </v:shape>
            <v:shape style="position:absolute;left:5149;top:2785;width:48;height:74" coordorigin="5149,2785" coordsize="48,74" path="m5158,2837l5149,2838,5150,2844,5152,2849,5156,2853,5161,2857,5166,2859,5179,2859,5185,2857,5190,2851,5169,2851,5166,2850,5161,2846,5159,2842,5158,2837xm5191,2822l5177,2822,5180,2824,5186,2829,5187,2832,5187,2841,5186,2844,5180,2850,5176,2851,5190,2851,5194,2848,5196,2843,5196,2832,5195,2828,5191,2822xm5168,2816l5167,2823,5169,2823,5171,2822,5191,2822,5191,2822,5187,2819,5183,2818,5186,2817,5188,2816,5168,2816,5168,2816xm5189,2793l5176,2793,5178,2794,5183,2798,5184,2800,5184,2808,5182,2811,5176,2815,5173,2816,5188,2816,5189,2815,5192,2810,5193,2807,5193,2800,5192,2798,5189,2793xm5176,2785l5166,2785,5161,2787,5154,2793,5151,2798,5150,2804,5159,2805,5160,2801,5161,2798,5161,2798,5166,2794,5169,2793,5189,2793,5189,2792,5186,2789,5179,2786,5176,2785xe" filled="true" fillcolor="#000000" stroked="false">
              <v:path arrowok="t"/>
              <v:fill type="solid"/>
            </v:shape>
            <v:rect style="position:absolute;left:5208;top:2847;width:11;height:11" filled="true" fillcolor="#000000" stroked="false">
              <v:fill type="solid"/>
            </v:rect>
            <v:shape style="position:absolute;left:5233;top:2785;width:47;height:74" coordorigin="5234,2785" coordsize="47,74" path="m5261,2785l5252,2785,5248,2787,5241,2792,5238,2796,5235,2807,5234,2813,5234,2836,5236,2845,5245,2856,5250,2859,5263,2859,5267,2857,5274,2852,5274,2851,5253,2851,5250,2849,5244,2842,5243,2834,5243,2809,5245,2802,5248,2798,5250,2794,5253,2793,5274,2793,5273,2791,5271,2789,5265,2786,5261,2785xm5274,2793l5261,2793,5265,2794,5270,2802,5272,2809,5272,2834,5270,2842,5265,2849,5261,2851,5274,2851,5277,2848,5280,2837,5281,2830,5281,2813,5280,2809,5278,2801,5277,2797,5274,2793xe" filled="true" fillcolor="#000000" stroked="false">
              <v:path arrowok="t"/>
              <v:fill type="solid"/>
            </v:shape>
            <v:shape style="position:absolute;left:0;top:18;width:1628;height:2663" type="#_x0000_t75" stroked="false">
              <v:imagedata r:id="rId52" o:title=""/>
            </v:shape>
            <v:line style="position:absolute" from="2718,2610" to="2718,146" stroked="true" strokeweight=".355pt" strokecolor="#b6b6b6">
              <v:stroke dashstyle="solid"/>
            </v:line>
            <v:shape style="position:absolute;left:2627;top:1376;width:170;height:145" type="#_x0000_t75" stroked="false">
              <v:imagedata r:id="rId53" o:title=""/>
            </v:shape>
            <v:shape style="position:absolute;left:2739;top:1587;width:157;height:144" type="#_x0000_t75" stroked="false">
              <v:imagedata r:id="rId54" o:title=""/>
            </v:shape>
            <v:shape style="position:absolute;left:2501;top:1165;width:188;height:144" type="#_x0000_t75" stroked="false">
              <v:imagedata r:id="rId55" o:title=""/>
            </v:shape>
            <v:shape style="position:absolute;left:2613;top:390;width:306;height:144" type="#_x0000_t75" stroked="false">
              <v:imagedata r:id="rId56" o:title=""/>
            </v:shape>
            <v:shape style="position:absolute;left:2648;top:602;width:285;height:144" type="#_x0000_t75" stroked="false">
              <v:imagedata r:id="rId57" o:title=""/>
            </v:shape>
            <v:line style="position:absolute" from="2571,850" to="2515,850" stroked="true" strokeweight=".355pt" strokecolor="#000000">
              <v:stroke dashstyle="solid"/>
            </v:line>
            <v:line style="position:absolute" from="2515,887" to="2515,814" stroked="true" strokeweight=".355pt" strokecolor="#000000">
              <v:stroke dashstyle="solid"/>
            </v:line>
            <v:line style="position:absolute" from="2571,850" to="2628,850" stroked="true" strokeweight=".355pt" strokecolor="#000000">
              <v:stroke dashstyle="solid"/>
            </v:line>
            <v:line style="position:absolute" from="2628,887" to="2628,814" stroked="true" strokeweight=".355pt" strokecolor="#000000">
              <v:stroke dashstyle="solid"/>
            </v:line>
            <v:rect style="position:absolute;left:2544;top:823;width:54;height:54" filled="true" fillcolor="#000000" stroked="false">
              <v:fill type="solid"/>
            </v:rect>
            <v:shape style="position:absolute;left:2544;top:823;width:54;height:27" coordorigin="2544,824" coordsize="54,27" path="m2598,824l2544,824,2571,850,2598,824xe" filled="true" fillcolor="#000000" stroked="false">
              <v:path arrowok="t"/>
              <v:fill type="solid"/>
            </v:shape>
            <v:shape style="position:absolute;left:2544;top:823;width:54;height:27" coordorigin="2544,824" coordsize="54,27" path="m2544,824l2598,824,2571,850,2544,824xe" filled="false" stroked="true" strokeweight=".355pt" strokecolor="#000000">
              <v:path arrowok="t"/>
              <v:stroke dashstyle="solid"/>
            </v:shape>
            <v:shape style="position:absolute;left:2544;top:850;width:54;height:28" coordorigin="2544,850" coordsize="54,28" path="m2571,850l2544,878,2598,878,2571,850xe" filled="true" fillcolor="#000000" stroked="false">
              <v:path arrowok="t"/>
              <v:fill type="solid"/>
            </v:shape>
            <v:shape style="position:absolute;left:2544;top:850;width:54;height:28" coordorigin="2544,850" coordsize="54,28" path="m2544,878l2598,878,2571,850,2544,878xe" filled="false" stroked="true" strokeweight=".355pt" strokecolor="#000000">
              <v:path arrowok="t"/>
              <v:stroke dashstyle="solid"/>
            </v:shape>
            <v:shape style="position:absolute;left:2489;top:925;width:597;height:144" type="#_x0000_t75" stroked="false">
              <v:imagedata r:id="rId58" o:title=""/>
            </v:shape>
            <v:line style="position:absolute" from="3067,287" to="2581,287" stroked="true" strokeweight=".355pt" strokecolor="#000000">
              <v:stroke dashstyle="solid"/>
            </v:line>
            <v:line style="position:absolute" from="2581,323" to="2581,250" stroked="true" strokeweight=".355pt" strokecolor="#000000">
              <v:stroke dashstyle="solid"/>
            </v:line>
            <v:line style="position:absolute" from="3067,287" to="3379,287" stroked="true" strokeweight=".355pt" strokecolor="#000000">
              <v:stroke dashstyle="solid"/>
            </v:line>
            <v:line style="position:absolute" from="3379,323" to="3379,250" stroked="true" strokeweight=".355pt" strokecolor="#000000">
              <v:stroke dashstyle="solid"/>
            </v:line>
            <v:rect style="position:absolute;left:3040;top:260;width:54;height:54" filled="true" fillcolor="#000000" stroked="false">
              <v:fill type="solid"/>
            </v:rect>
            <v:shape style="position:absolute;left:3040;top:260;width:54;height:27" coordorigin="3040,260" coordsize="54,27" path="m3094,260l3040,260,3067,287,3094,260xe" filled="true" fillcolor="#000000" stroked="false">
              <v:path arrowok="t"/>
              <v:fill type="solid"/>
            </v:shape>
            <v:shape style="position:absolute;left:3040;top:260;width:54;height:27" coordorigin="3040,260" coordsize="54,27" path="m3040,260l3094,260,3067,287,3040,260xe" filled="false" stroked="true" strokeweight=".355pt" strokecolor="#000000">
              <v:path arrowok="t"/>
              <v:stroke dashstyle="solid"/>
            </v:shape>
            <v:shape style="position:absolute;left:3040;top:287;width:54;height:27" coordorigin="3040,287" coordsize="54,27" path="m3067,287l3040,314,3094,314,3067,287xe" filled="true" fillcolor="#000000" stroked="false">
              <v:path arrowok="t"/>
              <v:fill type="solid"/>
            </v:shape>
            <v:shape style="position:absolute;left:3040;top:287;width:54;height:27" coordorigin="3040,287" coordsize="54,27" path="m3040,314l3094,314,3067,287,3040,314xe" filled="false" stroked="true" strokeweight=".355pt" strokecolor="#000000">
              <v:path arrowok="t"/>
              <v:stroke dashstyle="solid"/>
            </v:shape>
            <v:shape style="position:absolute;left:2522;top:1798;width:221;height:144" type="#_x0000_t75" stroked="false">
              <v:imagedata r:id="rId59" o:title=""/>
            </v:shape>
            <v:shape style="position:absolute;left:2817;top:2010;width:202;height:144" type="#_x0000_t75" stroked="false">
              <v:imagedata r:id="rId60" o:title=""/>
            </v:shape>
            <v:shape style="position:absolute;left:2669;top:2220;width:148;height:144" type="#_x0000_t75" stroked="false">
              <v:imagedata r:id="rId61" o:title=""/>
            </v:shape>
            <v:shape style="position:absolute;left:2702;top:2432;width:157;height:144" type="#_x0000_t75" stroked="false">
              <v:imagedata r:id="rId62" o:title=""/>
            </v:shape>
            <v:shape style="position:absolute;left:2257;top:1;width:49;height:73" coordorigin="2257,1" coordsize="49,73" path="m2306,1l2257,1,2257,73,2267,73,2267,41,2300,41,2300,32,2267,32,2267,10,2306,10,2306,1xe" filled="true" fillcolor="#000000" stroked="false">
              <v:path arrowok="t"/>
              <v:fill type="solid"/>
            </v:shape>
            <v:shape style="position:absolute;left:2312;top:19;width:49;height:55" coordorigin="2312,20" coordsize="49,55" path="m2344,20l2330,20,2325,22,2315,30,2312,38,2312,56,2315,63,2324,72,2330,74,2341,74,2346,73,2353,69,2355,67,2332,67,2329,65,2323,59,2322,54,2322,40,2323,36,2329,29,2332,27,2355,27,2350,22,2344,20xm2355,27l2341,27,2345,29,2351,36,2352,40,2352,54,2351,58,2351,59,2345,66,2341,67,2355,67,2356,66,2360,58,2361,54,2361,38,2359,32,2355,27xe" filled="true" fillcolor="#000000" stroked="false">
              <v:path arrowok="t"/>
              <v:fill type="solid"/>
            </v:shape>
            <v:rect style="position:absolute;left:2369;top:1;width:9;height:73" filled="true" fillcolor="#000000" stroked="false">
              <v:fill type="solid"/>
            </v:rect>
            <v:shape style="position:absolute;left:2384;top:1;width:46;height:74" coordorigin="2385,1" coordsize="46,74" path="m2410,20l2402,20,2399,21,2392,26,2389,29,2386,37,2385,42,2385,53,2386,57,2389,66,2392,69,2399,73,2403,74,2414,74,2418,72,2421,67,2404,67,2401,66,2395,59,2394,54,2394,40,2395,35,2400,29,2401,29,2404,27,2430,27,2430,27,2421,27,2420,25,2418,23,2413,21,2410,20xm2430,67l2422,67,2422,73,2430,73,2430,67xm2430,27l2412,27,2415,29,2421,36,2422,40,2422,54,2421,59,2415,66,2412,67,2421,67,2422,67,2430,67,2430,27xm2430,1l2421,1,2421,27,2430,27,2430,1xe" filled="true" fillcolor="#000000" stroked="false">
              <v:path arrowok="t"/>
              <v:fill type="solid"/>
            </v:shape>
            <v:shape style="position:absolute;left:2471;top:0;width:64;height:75" coordorigin="2471,0" coordsize="64,75" path="m2512,0l2499,0,2493,1,2482,7,2478,11,2472,23,2471,29,2471,44,2472,50,2477,62,2481,67,2491,73,2497,75,2512,75,2519,72,2527,66,2500,66,2496,65,2488,61,2485,57,2482,48,2481,44,2481,32,2482,27,2485,18,2487,15,2495,9,2499,8,2527,8,2518,2,2512,0xm2525,48l2524,54,2521,59,2514,65,2510,66,2527,66,2529,64,2533,58,2535,50,2525,48xm2527,8l2510,8,2514,9,2520,14,2522,18,2524,23,2534,21,2532,14,2528,9,2527,8xe" filled="true" fillcolor="#000000" stroked="false">
              <v:path arrowok="t"/>
              <v:fill type="solid"/>
            </v:shape>
            <v:shape style="position:absolute;left:2545;top:1;width:43;height:73" coordorigin="2545,1" coordsize="43,73" path="m2554,1l2545,1,2545,73,2554,73,2554,41,2554,37,2556,33,2558,31,2563,28,2565,28,2585,28,2585,27,2554,27,2554,1xm2585,28l2571,28,2574,29,2578,33,2579,36,2579,73,2588,73,2588,35,2587,31,2585,28xm2573,20l2563,20,2558,22,2554,27,2585,27,2584,26,2582,24,2577,21,2573,20xe" filled="true" fillcolor="#000000" stroked="false">
              <v:path arrowok="t"/>
              <v:fill type="solid"/>
            </v:shape>
            <v:shape style="position:absolute;left:2596;top:19;width:49;height:55" coordorigin="2596,20" coordsize="49,55" path="m2640,27l2625,27,2628,28,2632,32,2633,34,2633,40,2629,41,2624,42,2613,44,2611,44,2607,45,2604,46,2601,49,2599,50,2597,55,2596,56,2596,64,2598,67,2604,73,2608,74,2618,74,2621,74,2627,72,2630,70,2633,68,2613,68,2610,67,2607,64,2606,62,2606,57,2606,56,2608,54,2609,53,2612,52,2615,51,2625,50,2629,48,2633,47,2642,47,2641,33,2641,29,2640,27xm2642,67l2633,67,2634,69,2634,71,2634,72,2635,73,2644,73,2643,71,2643,69,2642,67xm2642,47l2633,47,2633,55,2632,57,2630,62,2628,64,2623,67,2620,68,2633,68,2633,67,2642,67,2642,65,2642,62,2642,47xm2626,20l2617,20,2613,21,2606,23,2603,25,2600,29,2599,32,2598,36,2606,37,2607,33,2609,31,2613,28,2616,27,2640,27,2640,27,2637,24,2635,23,2629,20,2626,20xe" filled="true" fillcolor="#000000" stroked="false">
              <v:path arrowok="t"/>
              <v:fill type="solid"/>
            </v:shape>
            <v:shape style="position:absolute;left:2653;top:19;width:43;height:54" coordorigin="2654,20" coordsize="43,54" path="m2662,21l2654,21,2654,73,2662,73,2663,38,2664,34,2669,29,2670,28,2662,28,2662,21xm2694,28l2679,28,2681,28,2684,30,2685,32,2687,35,2687,37,2687,73,2696,73,2696,34,2695,30,2694,28,2694,28xm2681,20l2671,20,2665,23,2662,28,2670,28,2673,28,2694,28,2691,24,2689,23,2684,20,2681,20xe" filled="true" fillcolor="#000000" stroked="false">
              <v:path arrowok="t"/>
              <v:fill type="solid"/>
            </v:shape>
            <v:shape style="position:absolute;left:2704;top:19;width:47;height:75" coordorigin="2705,20" coordsize="47,75" path="m2706,78l2706,83,2708,87,2716,93,2721,94,2732,94,2737,93,2744,90,2746,87,2723,87,2720,86,2716,83,2715,81,2715,79,2706,78xm2751,66l2742,66,2742,73,2741,76,2740,81,2739,83,2734,86,2731,87,2746,87,2746,87,2750,80,2751,74,2751,66xm2733,20l2723,20,2719,21,2712,26,2709,29,2705,37,2705,42,2705,54,2706,60,2714,71,2720,73,2733,73,2738,71,2742,66,2751,66,2751,66,2724,66,2720,64,2715,58,2714,53,2714,40,2715,35,2721,29,2724,27,2742,27,2738,22,2733,20xm2742,27l2732,27,2735,29,2741,35,2742,40,2742,53,2741,58,2735,64,2732,66,2751,66,2751,27,2742,27,2742,27xm2751,21l2742,21,2742,27,2751,27,2751,21xe" filled="true" fillcolor="#000000" stroked="false">
              <v:path arrowok="t"/>
              <v:fill type="solid"/>
            </v:shape>
            <v:shape style="position:absolute;left:2759;top:19;width:49;height:55" coordorigin="2759,20" coordsize="49,55" path="m2791,20l2776,20,2771,22,2762,32,2759,38,2759,56,2761,63,2770,72,2776,74,2790,74,2795,73,2803,67,2780,67,2776,66,2770,60,2769,55,2768,49,2807,49,2807,42,2769,42,2769,38,2771,34,2776,29,2780,27,2801,27,2796,22,2791,20xm2798,56l2797,60,2795,63,2795,63,2790,66,2787,67,2803,67,2803,67,2806,63,2807,58,2798,56xm2801,27l2788,27,2792,29,2795,32,2797,35,2798,38,2798,39,2798,42,2807,42,2807,38,2805,32,2801,27xe" filled="true" fillcolor="#000000" stroked="false">
              <v:path arrowok="t"/>
              <v:fill type="solid"/>
            </v:shape>
            <v:shape style="position:absolute;left:2843;top:19;width:49;height:55" coordorigin="2844,20" coordsize="49,55" path="m2887,27l2872,27,2876,28,2879,32,2880,34,2880,40,2877,41,2872,42,2861,44,2858,44,2854,45,2852,46,2848,49,2847,50,2845,55,2844,56,2844,64,2845,67,2852,73,2856,74,2865,74,2868,74,2875,72,2878,70,2880,68,2860,68,2858,67,2854,64,2853,62,2854,57,2854,56,2855,54,2857,53,2860,52,2862,51,2872,50,2877,48,2880,47,2889,47,2889,33,2888,29,2887,27xm2890,67l2881,67,2881,69,2882,71,2882,72,2883,73,2892,73,2891,71,2890,69,2890,67xm2889,47l2880,47,2880,55,2880,57,2878,62,2876,64,2870,67,2867,68,2880,68,2881,67,2890,67,2889,65,2889,62,2889,47xm2873,20l2864,20,2861,21,2854,23,2851,25,2848,29,2846,32,2845,36,2854,37,2855,33,2857,31,2860,28,2864,27,2887,27,2887,27,2885,24,2883,23,2877,20,2873,20xe" filled="true" fillcolor="#000000" stroked="false">
              <v:path arrowok="t"/>
              <v:fill type="solid"/>
            </v:shape>
            <v:shape style="position:absolute;left:2901;top:19;width:43;height:54" coordorigin="2901,20" coordsize="43,54" path="m2909,21l2901,21,2901,73,2910,73,2910,38,2911,34,2917,29,2918,28,2909,28,2909,21xm2942,28l2926,28,2928,28,2932,30,2933,32,2934,35,2935,37,2935,73,2944,73,2944,34,2943,30,2942,28,2942,28xm2929,20l2919,20,2913,23,2909,28,2918,28,2920,28,2942,28,2939,24,2937,23,2932,20,2929,20xe" filled="true" fillcolor="#000000" stroked="false">
              <v:path arrowok="t"/>
              <v:fill type="solid"/>
            </v:shape>
            <v:shape style="position:absolute;left:2952;top:1;width:46;height:74" coordorigin="2952,1" coordsize="46,74" path="m2978,20l2970,20,2966,21,2959,26,2957,29,2953,37,2952,42,2952,53,2953,57,2957,66,2960,69,2967,73,2971,74,2981,74,2986,72,2989,67,2972,67,2969,66,2963,59,2962,54,2961,40,2963,35,2968,29,2968,29,2971,27,2998,27,2998,27,2989,27,2987,25,2985,23,2980,21,2978,20xm2998,67l2989,67,2989,73,2998,73,2998,67xm2998,27l2979,27,2983,29,2988,36,2989,40,2990,54,2988,59,2983,66,2980,67,2989,67,2989,67,2998,67,2998,27xm2998,1l2989,1,2989,27,2998,27,2998,1xe" filled="true" fillcolor="#000000" stroked="false">
              <v:path arrowok="t"/>
              <v:fill type="solid"/>
            </v:shape>
            <v:shape style="position:absolute;left:3037;top:1;width:48;height:74" coordorigin="3038,1" coordsize="48,74" path="m3048,56l3039,57,3040,62,3042,67,3049,73,3054,75,3065,75,3069,73,3077,67,3077,67,3056,67,3054,66,3050,63,3048,60,3048,56xm3085,39l3076,39,3076,45,3076,48,3076,49,3074,56,3073,58,3070,62,3069,64,3065,67,3062,67,3077,67,3080,63,3084,52,3085,45,3085,39xm3065,1l3054,1,3049,3,3040,12,3038,18,3038,32,3040,38,3048,47,3053,49,3063,49,3066,48,3072,45,3075,42,3075,41,3057,41,3054,40,3048,34,3047,30,3047,20,3048,16,3054,10,3058,8,3078,8,3077,7,3069,2,3065,1xm3078,8l3065,8,3069,10,3074,16,3075,20,3075,30,3074,34,3069,40,3065,41,3075,41,3076,39,3085,39,3085,27,3084,20,3082,16,3080,11,3078,8xe" filled="true" fillcolor="#000000" stroked="false">
              <v:path arrowok="t"/>
              <v:fill type="solid"/>
            </v:shape>
            <v:shape style="position:absolute;left:3092;top:1;width:47;height:74" coordorigin="3092,1" coordsize="47,74" path="m3119,1l3110,1,3106,2,3099,8,3096,12,3093,22,3092,29,3092,51,3094,61,3100,67,3103,72,3109,74,3121,74,3125,73,3132,67,3132,67,3112,67,3108,65,3103,57,3101,50,3101,25,3103,18,3108,10,3111,8,3132,8,3131,7,3129,5,3123,2,3119,1xm3132,8l3120,8,3123,10,3129,18,3130,25,3130,50,3129,57,3123,65,3120,67,3132,67,3135,63,3138,53,3139,46,3139,29,3139,25,3136,17,3135,13,3132,8xe" filled="true" fillcolor="#000000" stroked="false">
              <v:path arrowok="t"/>
              <v:fill type="solid"/>
            </v:shape>
            <v:shape style="position:absolute;left:3148;top:0;width:78;height:76" coordorigin="3148,0" coordsize="78,76" path="m3210,0l3203,0,3164,76,3171,76,3210,0xm3214,38l3205,38,3201,40,3196,47,3195,51,3195,63,3196,68,3202,74,3206,76,3214,76,3218,74,3222,70,3208,70,3206,69,3203,65,3202,62,3202,52,3203,49,3206,45,3208,44,3222,44,3218,39,3214,38xm3222,44l3212,44,3214,45,3217,49,3218,51,3218,62,3217,65,3214,69,3212,70,3222,70,3224,68,3226,63,3226,51,3224,46,3222,44xm3168,0l3158,0,3155,2,3149,9,3148,13,3148,25,3150,30,3155,37,3159,38,3168,38,3171,36,3175,32,3161,32,3159,31,3157,27,3156,24,3156,13,3157,11,3159,7,3161,6,3176,6,3171,2,3168,0xm3176,6l3166,6,3168,7,3170,11,3171,13,3171,24,3170,27,3168,31,3166,32,3175,32,3177,30,3179,25,3179,13,3177,8,3176,6xe" filled="true" fillcolor="#000000" stroked="false">
              <v:path arrowok="t"/>
              <v:fill type="solid"/>
            </v:shape>
            <v:shape style="position:absolute;left:3267;top:0;width:64;height:75" coordorigin="3268,0" coordsize="64,75" path="m3309,0l3296,0,3290,1,3279,7,3275,11,3269,23,3268,29,3268,44,3269,50,3274,62,3278,67,3288,73,3294,75,3309,75,3316,72,3323,66,3297,66,3293,65,3285,61,3282,57,3279,48,3278,44,3278,32,3278,27,3281,18,3284,15,3292,9,3296,8,3324,8,3315,2,3309,0xm3322,48l3321,54,3318,59,3311,65,3306,66,3323,66,3326,64,3330,58,3332,50,3322,48xm3324,8l3307,8,3311,9,3317,14,3319,18,3321,23,3330,21,3328,14,3325,9,3324,8xe" filled="true" fillcolor="#000000" stroked="false">
              <v:path arrowok="t"/>
              <v:fill type="solid"/>
            </v:shape>
            <v:rect style="position:absolute;left:3344;top:1;width:10;height:73" filled="true" fillcolor="#000000" stroked="false">
              <v:fill type="solid"/>
            </v:rect>
            <v:shape style="position:absolute;left:0;top:939;width:501;height:565" type="#_x0000_t75" stroked="false">
              <v:imagedata r:id="rId63" o:title=""/>
            </v:shape>
            <v:rect style="position:absolute;left:12;top:1633;width:9;height:73" filled="true" fillcolor="#000000" stroked="false">
              <v:fill type="solid"/>
            </v:rect>
            <v:shape style="position:absolute;left:30;top:1633;width:9;height:73" coordorigin="31,1633" coordsize="9,73" path="m39,1633l31,1633,31,1643,39,1643,39,1633xm39,1653l31,1653,31,1705,39,1705,39,1653xe" filled="true" fillcolor="#000000" stroked="false">
              <v:path arrowok="t"/>
              <v:fill type="solid"/>
            </v:shape>
            <v:shape style="position:absolute;left:49;top:1634;width:26;height:72" coordorigin="49,1635" coordsize="26,72" path="m65,1660l56,1660,56,1696,56,1699,58,1702,59,1703,63,1705,65,1706,70,1706,72,1705,75,1705,74,1698,69,1698,68,1697,66,1696,66,1696,65,1694,65,1660xm74,1697l72,1697,71,1698,74,1698,74,1697xm74,1653l49,1653,49,1660,74,1660,74,1653xm65,1635l56,1640,56,1653,65,1653,65,1635xe" filled="true" fillcolor="#000000" stroked="false">
              <v:path arrowok="t"/>
              <v:fill type="solid"/>
            </v:shape>
            <v:shape style="position:absolute;left:78;top:1633;width:43;height:73" coordorigin="78,1633" coordsize="43,73" path="m87,1633l78,1633,78,1705,87,1705,87,1672,88,1669,90,1665,91,1663,96,1660,98,1659,118,1659,118,1659,87,1659,87,1633xm118,1659l104,1659,107,1660,111,1664,112,1668,112,1705,121,1705,121,1667,120,1663,118,1659xm107,1652l96,1652,91,1654,87,1659,118,1659,118,1658,116,1655,110,1652,107,1652xe" filled="true" fillcolor="#000000" stroked="false">
              <v:path arrowok="t"/>
              <v:fill type="solid"/>
            </v:shape>
            <v:shape style="position:absolute;left:132;top:1633;width:9;height:73" coordorigin="133,1633" coordsize="9,73" path="m141,1633l133,1633,133,1643,141,1643,141,1633xm141,1653l133,1653,133,1705,141,1705,141,1653xe" filled="true" fillcolor="#000000" stroked="false">
              <v:path arrowok="t"/>
              <v:fill type="solid"/>
            </v:shape>
            <v:shape style="position:absolute;left:156;top:1652;width:43;height:54" coordorigin="156,1653" coordsize="43,54" path="m165,1653l156,1653,156,1692,157,1696,158,1698,161,1702,163,1703,168,1706,171,1706,181,1706,186,1703,190,1699,173,1699,171,1698,167,1695,166,1693,165,1690,165,1653xm198,1697l191,1697,191,1705,198,1705,198,1697xm198,1653l190,1653,189,1686,189,1689,187,1693,185,1695,181,1698,178,1699,190,1699,191,1697,198,1697,198,1653xe" filled="true" fillcolor="#000000" stroked="false">
              <v:path arrowok="t"/>
              <v:fill type="solid"/>
            </v:shape>
            <v:shape style="position:absolute;left:210;top:1651;width:71;height:54" coordorigin="211,1652" coordsize="71,54" path="m219,1653l211,1653,211,1705,219,1705,219,1673,220,1670,222,1665,223,1663,227,1660,219,1660,219,1653xm249,1659l236,1659,238,1660,241,1664,242,1667,242,1705,250,1705,250,1669,252,1665,256,1661,249,1661,249,1659xm280,1659l265,1659,267,1660,270,1662,271,1663,272,1666,272,1667,273,1705,281,1705,281,1663,280,1659xm270,1652l259,1652,253,1655,249,1661,256,1661,257,1661,260,1659,280,1659,280,1659,274,1653,270,1652xm238,1652l231,1652,228,1652,222,1656,220,1658,219,1660,227,1660,228,1660,230,1659,249,1659,248,1658,246,1656,241,1652,238,1652xe" filled="true" fillcolor="#000000" stroked="false">
              <v:path arrowok="t"/>
              <v:fill type="solid"/>
            </v:shape>
          </v:group>
        </w:pict>
      </w:r>
      <w:r>
        <w:rPr>
          <w:sz w:val="20"/>
        </w:rPr>
      </w:r>
    </w:p>
    <w:p>
      <w:pPr>
        <w:pStyle w:val="BodyText"/>
        <w:spacing w:before="4"/>
        <w:rPr>
          <w:b/>
          <w:sz w:val="8"/>
        </w:rPr>
      </w:pPr>
    </w:p>
    <w:p>
      <w:pPr>
        <w:pStyle w:val="BodyText"/>
        <w:spacing w:line="102" w:lineRule="exact"/>
        <w:ind w:left="2125"/>
        <w:rPr>
          <w:sz w:val="10"/>
        </w:rPr>
      </w:pPr>
      <w:r>
        <w:rPr>
          <w:position w:val="-1"/>
          <w:sz w:val="10"/>
        </w:rPr>
        <w:drawing>
          <wp:inline distT="0" distB="0" distL="0" distR="0">
            <wp:extent cx="1677782" cy="65341"/>
            <wp:effectExtent l="0" t="0" r="0" b="0"/>
            <wp:docPr id="45" name="image54.png" descr=""/>
            <wp:cNvGraphicFramePr>
              <a:graphicFrameLocks noChangeAspect="1"/>
            </wp:cNvGraphicFramePr>
            <a:graphic>
              <a:graphicData uri="http://schemas.openxmlformats.org/drawingml/2006/picture">
                <pic:pic>
                  <pic:nvPicPr>
                    <pic:cNvPr id="46" name="image54.png"/>
                    <pic:cNvPicPr/>
                  </pic:nvPicPr>
                  <pic:blipFill>
                    <a:blip r:embed="rId64" cstate="print"/>
                    <a:stretch>
                      <a:fillRect/>
                    </a:stretch>
                  </pic:blipFill>
                  <pic:spPr>
                    <a:xfrm>
                      <a:off x="0" y="0"/>
                      <a:ext cx="1677782" cy="65341"/>
                    </a:xfrm>
                    <a:prstGeom prst="rect">
                      <a:avLst/>
                    </a:prstGeom>
                  </pic:spPr>
                </pic:pic>
              </a:graphicData>
            </a:graphic>
          </wp:inline>
        </w:drawing>
      </w:r>
      <w:r>
        <w:rPr>
          <w:position w:val="-1"/>
          <w:sz w:val="10"/>
        </w:rPr>
      </w:r>
    </w:p>
    <w:p>
      <w:pPr>
        <w:spacing w:line="174" w:lineRule="exact" w:before="102"/>
        <w:ind w:left="140" w:right="0" w:firstLine="0"/>
        <w:jc w:val="left"/>
        <w:rPr>
          <w:b/>
          <w:sz w:val="16"/>
        </w:rPr>
      </w:pPr>
      <w:r>
        <w:rPr>
          <w:b/>
          <w:w w:val="95"/>
          <w:sz w:val="16"/>
        </w:rPr>
        <w:t>Los estudios realizados en poblaciones específicas</w:t>
      </w:r>
    </w:p>
    <w:p>
      <w:pPr>
        <w:pStyle w:val="BodyText"/>
        <w:spacing w:line="216" w:lineRule="auto" w:before="5"/>
        <w:ind w:left="140" w:right="39"/>
        <w:jc w:val="both"/>
      </w:pPr>
      <w:r>
        <w:rPr>
          <w:w w:val="90"/>
        </w:rPr>
        <w:t>No hay estudios farmacocinéticos específicos se han realizado con ABILIFY Mantenim </w:t>
      </w:r>
      <w:r>
        <w:rPr/>
        <w:t>en poblaciones específicas. Toda la información se obtiene a partir de estudios con aripiprazol oral.</w:t>
      </w:r>
    </w:p>
    <w:p>
      <w:pPr>
        <w:pStyle w:val="BodyText"/>
        <w:spacing w:line="216" w:lineRule="auto" w:before="56"/>
        <w:ind w:left="140" w:right="38"/>
        <w:jc w:val="both"/>
      </w:pPr>
      <w:r>
        <w:rPr>
          <w:w w:val="95"/>
        </w:rPr>
        <w:t>Las exposiciones de aripiprazol y dehidro-aripiprazol en poblaciones específicas se resumen en la Figura 22 y la Figura 23, respectivamente. Además, en pacientes pediátricos</w:t>
      </w:r>
      <w:r>
        <w:rPr/>
        <w:t>(10 a 17 años de edad) administrados con aripiprazol oral (20 mg a 30 mg), el peso corporal corregido aclaramiento de aripiprazol era similar a los adultos.</w:t>
      </w:r>
    </w:p>
    <w:p>
      <w:pPr>
        <w:pStyle w:val="Heading3"/>
        <w:spacing w:before="40"/>
        <w:jc w:val="both"/>
      </w:pPr>
      <w:r>
        <w:rPr>
          <w:w w:val="95"/>
        </w:rPr>
        <w:t>Figura 22: Efectos de los factores intrínsecos sobre la farmacocinética de aripiprazol</w:t>
      </w:r>
    </w:p>
    <w:p>
      <w:pPr>
        <w:spacing w:before="38"/>
        <w:ind w:left="140" w:right="0" w:firstLine="0"/>
        <w:jc w:val="both"/>
        <w:rPr>
          <w:b/>
          <w:sz w:val="11"/>
        </w:rPr>
      </w:pPr>
      <w:r>
        <w:rPr>
          <w:b/>
          <w:w w:val="105"/>
          <w:sz w:val="11"/>
        </w:rPr>
        <w:t>Poblaciones especiales</w:t>
      </w:r>
    </w:p>
    <w:p>
      <w:pPr>
        <w:pStyle w:val="BodyText"/>
        <w:spacing w:before="6"/>
        <w:rPr>
          <w:b/>
          <w:sz w:val="6"/>
        </w:rPr>
      </w:pPr>
    </w:p>
    <w:p>
      <w:pPr>
        <w:pStyle w:val="BodyText"/>
        <w:ind w:left="156" w:right="-15"/>
        <w:rPr>
          <w:sz w:val="20"/>
        </w:rPr>
      </w:pPr>
      <w:r>
        <w:rPr>
          <w:sz w:val="20"/>
        </w:rPr>
        <w:pict>
          <v:group style="width:262.55pt;height:140.050pt;mso-position-horizontal-relative:char;mso-position-vertical-relative:line" coordorigin="0,0" coordsize="5251,2801">
            <v:line style="position:absolute" from="1640,2627" to="5187,2627" stroked="true" strokeweight=".348pt" strokecolor="#000000">
              <v:stroke dashstyle="solid"/>
            </v:line>
            <v:line style="position:absolute" from="2129,2662" to="2129,2627" stroked="true" strokeweight=".348pt" strokecolor="#000000">
              <v:stroke dashstyle="solid"/>
            </v:line>
            <v:shape style="position:absolute;left:1972;top:0;width:2827;height:2801" type="#_x0000_t75" stroked="false">
              <v:imagedata r:id="rId65" o:title=""/>
            </v:shape>
            <v:line style="position:absolute" from="3352,2662" to="3352,2627" stroked="true" strokeweight=".348pt" strokecolor="#000000">
              <v:stroke dashstyle="solid"/>
            </v:line>
            <v:line style="position:absolute" from="3963,2662" to="3963,2627" stroked="true" strokeweight=".348pt" strokecolor="#000000">
              <v:stroke dashstyle="solid"/>
            </v:line>
            <v:line style="position:absolute" from="4574,2662" to="4574,2627" stroked="true" strokeweight=".348pt" strokecolor="#000000">
              <v:stroke dashstyle="solid"/>
            </v:line>
            <v:line style="position:absolute" from="5187,2662" to="5187,2627" stroked="true" strokeweight=".348pt" strokecolor="#000000">
              <v:stroke dashstyle="solid"/>
            </v:line>
            <v:shape style="position:absolute;left:2064;top:2728;width:47;height:73" coordorigin="2065,2729" coordsize="47,73" path="m2092,2729l2083,2729,2078,2730,2072,2736,2069,2740,2066,2750,2065,2756,2065,2778,2067,2788,2076,2798,2081,2801,2093,2801,2097,2799,2104,2794,2104,2794,2084,2794,2080,2792,2075,2784,2074,2776,2074,2752,2075,2745,2081,2738,2084,2736,2104,2736,2103,2735,2101,2733,2098,2731,2095,2730,2092,2729xm2104,2736l2092,2736,2095,2738,2101,2746,2102,2752,2102,2776,2101,2784,2098,2788,2095,2792,2092,2794,2104,2794,2107,2790,2110,2780,2111,2773,2111,2756,2110,2752,2108,2744,2107,2741,2104,2736xe" filled="true" fillcolor="#000000" stroked="false">
              <v:path arrowok="t"/>
              <v:fill type="solid"/>
            </v:shape>
            <v:rect style="position:absolute;left:2122;top:2789;width:10;height:10" filled="true" fillcolor="#000000" stroked="false">
              <v:fill type="solid"/>
            </v:rect>
            <v:shape style="position:absolute;left:2147;top:2729;width:47;height:71" coordorigin="2147,2730" coordsize="47,71" path="m2156,2780l2147,2781,2148,2787,2150,2792,2158,2799,2163,2801,2178,2801,2184,2798,2187,2794,2166,2794,2163,2793,2158,2788,2157,2785,2156,2780xm2189,2760l2174,2760,2178,2762,2183,2768,2185,2771,2184,2782,2183,2786,2177,2792,2174,2794,2187,2794,2192,2788,2194,2782,2194,2769,2192,2763,2189,2760xm2191,2730l2155,2730,2149,2766,2157,2767,2158,2765,2160,2764,2162,2762,2164,2761,2167,2760,2189,2760,2186,2757,2159,2757,2162,2738,2191,2738,2191,2730xm2178,2753l2167,2753,2163,2754,2159,2757,2186,2757,2183,2755,2178,2753xe" filled="true" fillcolor="#000000" stroked="false">
              <v:path arrowok="t"/>
              <v:fill type="solid"/>
            </v:shape>
            <v:shape style="position:absolute;left:3293;top:2728;width:27;height:71" coordorigin="3294,2729" coordsize="27,71" path="m3320,2744l3311,2744,3311,2800,3320,2800,3320,2744xm3320,2729l3314,2729,3313,2732,3310,2735,3303,2741,3299,2744,3294,2747,3294,2755,3297,2754,3300,2752,3306,2748,3309,2746,3311,2744,3320,2744,3320,2729xe" filled="true" fillcolor="#000000" stroked="false">
              <v:path arrowok="t"/>
              <v:fill type="solid"/>
            </v:shape>
            <v:rect style="position:absolute;left:3344;top:2789;width:10;height:10" filled="true" fillcolor="#000000" stroked="false">
              <v:fill type="solid"/>
            </v:rect>
            <v:shape style="position:absolute;left:3369;top:2729;width:47;height:71" coordorigin="3370,2730" coordsize="47,71" path="m3379,2780l3370,2781,3370,2787,3372,2792,3376,2795,3381,2799,3386,2801,3400,2801,3406,2798,3410,2794,3389,2794,3386,2793,3383,2790,3381,2788,3379,2785,3379,2780xm3411,2760l3397,2760,3400,2762,3406,2768,3407,2771,3407,2782,3406,2786,3403,2789,3400,2792,3396,2794,3410,2794,3414,2788,3416,2782,3416,2769,3414,2763,3411,2760xm3413,2730l3378,2730,3371,2766,3379,2767,3380,2765,3382,2764,3384,2762,3387,2761,3389,2760,3411,2760,3408,2757,3381,2757,3385,2738,3413,2738,3413,2730xm3401,2753l3390,2753,3385,2754,3381,2757,3408,2757,3406,2755,3401,2753xe" filled="true" fillcolor="#000000" stroked="false">
              <v:path arrowok="t"/>
              <v:fill type="solid"/>
            </v:shape>
            <v:shape style="position:absolute;left:3897;top:2728;width:47;height:71" coordorigin="3898,2729" coordsize="47,71" path="m3940,2736l3926,2736,3929,2737,3934,2742,3936,2745,3936,2751,3934,2755,3929,2762,3924,2767,3911,2778,3907,2781,3902,2787,3900,2790,3898,2796,3898,2798,3898,2800,3945,2800,3945,2791,3910,2791,3911,2790,3912,2788,3915,2785,3918,2782,3924,2778,3930,2772,3934,2768,3940,2762,3942,2759,3944,2754,3944,2751,3944,2742,3943,2738,3940,2736xm3929,2729l3916,2729,3910,2731,3902,2737,3900,2743,3900,2749,3908,2750,3909,2746,3910,2742,3915,2737,3918,2736,3940,2736,3935,2731,3929,2729xe" filled="true" fillcolor="#000000" stroked="false">
              <v:path arrowok="t"/>
              <v:fill type="solid"/>
            </v:shape>
            <v:rect style="position:absolute;left:3956;top:2789;width:10;height:10" filled="true" fillcolor="#000000" stroked="false">
              <v:fill type="solid"/>
            </v:rect>
            <v:shape style="position:absolute;left:3981;top:2728;width:47;height:73" coordorigin="3981,2729" coordsize="47,73" path="m4008,2729l3999,2729,3995,2730,3988,2736,3986,2740,3982,2750,3981,2756,3981,2778,3984,2788,3992,2798,3997,2801,4009,2801,4014,2799,4020,2794,4021,2794,4000,2794,3997,2792,3992,2784,3990,2776,3990,2752,3992,2745,3997,2738,4000,2736,4020,2736,4019,2735,4017,2733,4014,2731,4011,2730,4008,2729xm4020,2736l4008,2736,4012,2738,4017,2746,4018,2752,4018,2776,4017,2784,4014,2788,4012,2792,4008,2794,4021,2794,4023,2790,4026,2780,4027,2773,4027,2756,4027,2752,4025,2744,4023,2741,4020,2736xe" filled="true" fillcolor="#000000" stroked="false">
              <v:path arrowok="t"/>
              <v:fill type="solid"/>
            </v:shape>
            <v:shape style="position:absolute;left:4509;top:2728;width:47;height:71" coordorigin="4509,2729" coordsize="47,71" path="m4552,2736l4538,2736,4541,2737,4546,2742,4547,2745,4547,2751,4546,2755,4540,2762,4535,2767,4528,2774,4523,2778,4519,2781,4514,2787,4512,2790,4510,2796,4509,2798,4509,2800,4556,2800,4556,2791,4522,2791,4522,2790,4524,2788,4527,2785,4530,2782,4541,2772,4546,2768,4551,2762,4553,2759,4555,2754,4556,2751,4556,2742,4554,2738,4552,2736xm4541,2729l4527,2729,4522,2731,4514,2737,4512,2743,4511,2749,4520,2750,4520,2746,4521,2742,4526,2737,4530,2736,4552,2736,4546,2731,4541,2729xe" filled="true" fillcolor="#000000" stroked="false">
              <v:path arrowok="t"/>
              <v:fill type="solid"/>
            </v:shape>
            <v:rect style="position:absolute;left:4568;top:2789;width:10;height:10" filled="true" fillcolor="#000000" stroked="false">
              <v:fill type="solid"/>
            </v:rect>
            <v:shape style="position:absolute;left:4592;top:2729;width:47;height:71" coordorigin="4593,2730" coordsize="47,71" path="m4602,2780l4593,2781,4593,2787,4596,2792,4604,2799,4609,2801,4623,2801,4630,2798,4633,2794,4612,2794,4609,2793,4607,2790,4604,2788,4603,2785,4602,2780xm4634,2760l4620,2760,4623,2762,4629,2768,4630,2771,4630,2782,4629,2786,4623,2792,4620,2794,4633,2794,4638,2788,4640,2782,4640,2769,4638,2763,4634,2760xm4636,2730l4601,2730,4594,2766,4602,2767,4604,2765,4606,2764,4610,2761,4613,2760,4634,2760,4631,2757,4604,2757,4608,2738,4636,2738,4636,2730xm4624,2753l4613,2753,4609,2754,4604,2757,4631,2757,4629,2755,4624,2753xe" filled="true" fillcolor="#000000" stroked="false">
              <v:path arrowok="t"/>
              <v:fill type="solid"/>
            </v:shape>
            <v:shape style="position:absolute;left:5122;top:2728;width:47;height:73" coordorigin="5123,2729" coordsize="47,73" path="m5131,2780l5123,2781,5123,2787,5126,2792,5134,2799,5139,2801,5152,2801,5158,2799,5163,2794,5142,2794,5139,2793,5134,2788,5132,2785,5131,2780xm5164,2765l5150,2765,5153,2767,5158,2772,5160,2775,5160,2783,5158,2787,5153,2792,5149,2794,5163,2794,5167,2790,5169,2785,5169,2774,5168,2770,5164,2765xm5141,2759l5140,2766,5142,2766,5144,2765,5164,2765,5163,2764,5160,2762,5156,2761,5159,2760,5160,2759,5142,2759,5141,2759xm5162,2736l5148,2736,5151,2737,5155,2741,5157,2744,5157,2751,5155,2754,5152,2756,5149,2758,5146,2759,5160,2759,5161,2758,5165,2753,5165,2750,5165,2744,5165,2741,5162,2736xm5149,2729l5139,2729,5135,2730,5131,2734,5127,2737,5125,2741,5124,2747,5132,2749,5133,2744,5134,2741,5139,2737,5142,2736,5162,2736,5161,2735,5159,2733,5155,2731,5152,2730,5149,2729xe" filled="true" fillcolor="#000000" stroked="false">
              <v:path arrowok="t"/>
              <v:fill type="solid"/>
            </v:shape>
            <v:rect style="position:absolute;left:5180;top:2789;width:10;height:10" filled="true" fillcolor="#000000" stroked="false">
              <v:fill type="solid"/>
            </v:rect>
            <v:shape style="position:absolute;left:5204;top:2728;width:47;height:73" coordorigin="5205,2729" coordsize="47,73" path="m5232,2729l5223,2729,5218,2730,5212,2736,5209,2740,5206,2750,5205,2756,5205,2778,5207,2788,5216,2798,5221,2801,5233,2801,5237,2799,5244,2794,5244,2794,5224,2794,5221,2792,5215,2784,5214,2776,5214,2752,5215,2745,5221,2738,5224,2736,5244,2736,5243,2735,5241,2733,5238,2731,5235,2730,5232,2729xm5244,2736l5232,2736,5235,2738,5241,2746,5242,2752,5242,2776,5241,2784,5238,2788,5235,2792,5232,2794,5244,2794,5247,2790,5249,2784,5250,2780,5251,2773,5251,2756,5250,2752,5248,2744,5247,2741,5244,2736xe" filled="true" fillcolor="#000000" stroked="false">
              <v:path arrowok="t"/>
              <v:fill type="solid"/>
            </v:shape>
            <v:shape style="position:absolute;left:56;top:590;width:656;height:191" type="#_x0000_t75" stroked="false">
              <v:imagedata r:id="rId66" o:title=""/>
            </v:shape>
            <v:shape style="position:absolute;left:21;top:18;width:1651;height:2609" type="#_x0000_t75" stroked="false">
              <v:imagedata r:id="rId67" o:title=""/>
            </v:shape>
            <v:shape style="position:absolute;left:2968;top:718;width:623;height:149" type="#_x0000_t75" stroked="false">
              <v:imagedata r:id="rId68" o:title=""/>
            </v:shape>
            <v:shape style="position:absolute;left:0;top:2231;width:818;height:190" type="#_x0000_t75" stroked="false">
              <v:imagedata r:id="rId69" o:title=""/>
            </v:shape>
            <v:shape style="position:absolute;left:45;top:984;width:1006;height:204" type="#_x0000_t75" stroked="false">
              <v:imagedata r:id="rId70" o:title=""/>
            </v:shape>
            <v:shape style="position:absolute;left:31;top:1362;width:904;height:190" type="#_x0000_t75" stroked="false">
              <v:imagedata r:id="rId71" o:title=""/>
            </v:shape>
            <v:shape style="position:absolute;left:29;top:1725;width:838;height:72" type="#_x0000_t75" stroked="false">
              <v:imagedata r:id="rId72" o:title=""/>
            </v:shape>
            <v:rect style="position:absolute;left:875;top:1725;width:9;height:71" filled="true" fillcolor="#000000" stroked="false">
              <v:fill type="solid"/>
            </v:rect>
            <v:shape style="position:absolute;left:14;top:2015;width:724;height:54" type="#_x0000_t75" stroked="false">
              <v:imagedata r:id="rId73" o:title=""/>
            </v:shape>
            <v:rect style="position:absolute;left:747;top:1997;width:9;height:71" filled="true" fillcolor="#000000" stroked="false">
              <v:fill type="solid"/>
            </v:rect>
          </v:group>
        </w:pict>
      </w:r>
      <w:r>
        <w:rPr>
          <w:sz w:val="20"/>
        </w:rPr>
      </w:r>
    </w:p>
    <w:p>
      <w:pPr>
        <w:pStyle w:val="BodyText"/>
        <w:spacing w:before="4"/>
        <w:rPr>
          <w:b/>
          <w:sz w:val="7"/>
        </w:rPr>
      </w:pPr>
      <w:r>
        <w:rPr/>
        <w:br w:type="column"/>
      </w:r>
      <w:r>
        <w:rPr>
          <w:b/>
          <w:sz w:val="7"/>
        </w:rPr>
      </w:r>
    </w:p>
    <w:p>
      <w:pPr>
        <w:pStyle w:val="BodyText"/>
        <w:spacing w:line="102" w:lineRule="exact"/>
        <w:ind w:left="2794"/>
        <w:rPr>
          <w:sz w:val="10"/>
        </w:rPr>
      </w:pPr>
      <w:r>
        <w:rPr>
          <w:position w:val="-1"/>
          <w:sz w:val="10"/>
        </w:rPr>
        <w:drawing>
          <wp:inline distT="0" distB="0" distL="0" distR="0">
            <wp:extent cx="905821" cy="65341"/>
            <wp:effectExtent l="0" t="0" r="0" b="0"/>
            <wp:docPr id="47" name="image64.png" descr=""/>
            <wp:cNvGraphicFramePr>
              <a:graphicFrameLocks noChangeAspect="1"/>
            </wp:cNvGraphicFramePr>
            <a:graphic>
              <a:graphicData uri="http://schemas.openxmlformats.org/drawingml/2006/picture">
                <pic:pic>
                  <pic:nvPicPr>
                    <pic:cNvPr id="48" name="image64.png"/>
                    <pic:cNvPicPr/>
                  </pic:nvPicPr>
                  <pic:blipFill>
                    <a:blip r:embed="rId74" cstate="print"/>
                    <a:stretch>
                      <a:fillRect/>
                    </a:stretch>
                  </pic:blipFill>
                  <pic:spPr>
                    <a:xfrm>
                      <a:off x="0" y="0"/>
                      <a:ext cx="905821" cy="65341"/>
                    </a:xfrm>
                    <a:prstGeom prst="rect">
                      <a:avLst/>
                    </a:prstGeom>
                  </pic:spPr>
                </pic:pic>
              </a:graphicData>
            </a:graphic>
          </wp:inline>
        </w:drawing>
      </w:r>
      <w:r>
        <w:rPr>
          <w:position w:val="-1"/>
          <w:sz w:val="10"/>
        </w:rPr>
      </w:r>
    </w:p>
    <w:p>
      <w:pPr>
        <w:pStyle w:val="Heading3"/>
        <w:numPr>
          <w:ilvl w:val="0"/>
          <w:numId w:val="25"/>
        </w:numPr>
        <w:tabs>
          <w:tab w:pos="521" w:val="left" w:leader="none"/>
        </w:tabs>
        <w:spacing w:line="174" w:lineRule="exact" w:before="87" w:after="0"/>
        <w:ind w:left="520" w:right="0" w:hanging="380"/>
        <w:jc w:val="both"/>
      </w:pPr>
      <w:r>
        <w:rPr>
          <w:w w:val="90"/>
        </w:rPr>
        <w:t>TOXICOLOGÍA NO CLÍNICA</w:t>
      </w:r>
    </w:p>
    <w:p>
      <w:pPr>
        <w:pStyle w:val="ListParagraph"/>
        <w:numPr>
          <w:ilvl w:val="1"/>
          <w:numId w:val="25"/>
        </w:numPr>
        <w:tabs>
          <w:tab w:pos="521" w:val="left" w:leader="none"/>
        </w:tabs>
        <w:spacing w:line="174" w:lineRule="exact" w:before="0" w:after="0"/>
        <w:ind w:left="520" w:right="0" w:hanging="380"/>
        <w:jc w:val="both"/>
        <w:rPr>
          <w:b/>
          <w:sz w:val="16"/>
        </w:rPr>
      </w:pPr>
      <w:r>
        <w:rPr>
          <w:b/>
          <w:w w:val="95"/>
          <w:sz w:val="16"/>
        </w:rPr>
        <w:t>Carcinogénesis, mutagénesis, deterioro de la fertilidad</w:t>
      </w:r>
    </w:p>
    <w:p>
      <w:pPr>
        <w:spacing w:line="182" w:lineRule="exact" w:before="25"/>
        <w:ind w:left="140" w:right="0" w:firstLine="0"/>
        <w:jc w:val="both"/>
        <w:rPr>
          <w:i/>
          <w:sz w:val="16"/>
        </w:rPr>
      </w:pPr>
      <w:r>
        <w:rPr>
          <w:i/>
          <w:w w:val="95"/>
          <w:sz w:val="16"/>
        </w:rPr>
        <w:t>carcinogénesis</w:t>
      </w:r>
    </w:p>
    <w:p>
      <w:pPr>
        <w:pStyle w:val="BodyText"/>
        <w:spacing w:line="216" w:lineRule="auto" w:before="12"/>
        <w:ind w:left="140" w:right="717"/>
        <w:jc w:val="both"/>
      </w:pPr>
      <w:r>
        <w:rPr>
          <w:w w:val="90"/>
        </w:rPr>
        <w:t>Se llevaron a cabo estudios de carcinogenicidad de por vida en ratones ICR, ratas Sprague-Dawley (SD), y ratas F344. El aripiprazol se administró durante 2 años en la dieta a dosis de</w:t>
      </w:r>
      <w:r>
        <w:rPr/>
        <w:t>1, 3, 10, y 30 mg / kg / día a ratones ICR y 1, 3 y 10 mg / kg / día a ratas F344 (0,2 a 5 veces y 0,3 a 3 veces la dosis máxima recomendada en humanos [MRHD] basado en un mg / m2, respectivamente). Además, ratas SD se dosificaron por vía oral durante 2 años a los 10, 20, 40, y 60 mg / kg / día (de 3 a 19 veces la MRHD basan en un mg / m2). El aripiprazol no indujo tumores en ratones machos o ratas macho. En ratones hembra, las incidencias de adenomas glándula pituitaria y adenocarcinomas de la glándula mamaria y adenoacanthomas se incrementa a dosis dietéticas de 3 a 30 mg / kg / día (0,1 a 0,9 veces la exposición humana a MRHD basada en el AUC y</w:t>
      </w:r>
    </w:p>
    <w:p>
      <w:pPr>
        <w:pStyle w:val="BodyText"/>
        <w:spacing w:line="216" w:lineRule="auto"/>
        <w:ind w:left="140" w:right="717"/>
        <w:jc w:val="both"/>
      </w:pPr>
      <w:r>
        <w:rPr/>
        <w:t>0,5 a 5 veces la MRHD en base a un mg / m2). En ratas hembra, la incidencia de fibroadenomas de la glándula mamaria se aumentó a una dosis de la dieta de 10 mg / kg / día (0,1 veces la exposición humana a MRHD basada en el AUC y 3 veces la MRHD en base a un mg / m2); y la incidencia de carcinomas adrenocorticales y adrenocorticales adenomas / carcinomas combinados se aumentaron a una dosis oral de 60 mg / kg / día (14 veces la exposición humana a MRHD basada en el AUC y 19 veces la MRHD en base a un mg / m2).</w:t>
      </w:r>
    </w:p>
    <w:p>
      <w:pPr>
        <w:pStyle w:val="BodyText"/>
        <w:spacing w:line="216" w:lineRule="auto" w:before="20"/>
        <w:ind w:left="140" w:right="717"/>
        <w:jc w:val="both"/>
      </w:pPr>
      <w:r>
        <w:rPr>
          <w:w w:val="95"/>
        </w:rPr>
        <w:t>cambios proliferativos en la pituitaria y la glándula mamaria de roedores se han observado después de la administración crónica de otros agentes antipsicóticos y se consideran prolactina mediada. prolactina sérica no se midió en los estudios de carcinogenicidad con aripiprazol. Sin embargo, se observaron aumentos en los niveles de prolactina en suero en ratones hembra en un estudio de alimentación de 13 semanas a las dosis asociadas con mamaria</w:t>
      </w:r>
      <w:r>
        <w:rPr/>
        <w:t>la glándula pituitaria y tumores. prolactina sérica no fue mayor en ratas hembra en 4 semanas y 13 semanas de estudios dietéticos a la dosis asociada con tumores de las glándulas mamarias. La relevancia para el riesgo humano de los resultados de los tumores endocrinos de prolactina mediada en roedores es desconocida.</w:t>
      </w:r>
    </w:p>
    <w:p>
      <w:pPr>
        <w:spacing w:line="182" w:lineRule="exact" w:before="22"/>
        <w:ind w:left="140" w:right="0" w:firstLine="0"/>
        <w:jc w:val="both"/>
        <w:rPr>
          <w:i/>
          <w:sz w:val="16"/>
        </w:rPr>
      </w:pPr>
      <w:r>
        <w:rPr>
          <w:i/>
          <w:sz w:val="16"/>
        </w:rPr>
        <w:t>mutagénesis</w:t>
      </w:r>
    </w:p>
    <w:p>
      <w:pPr>
        <w:pStyle w:val="BodyText"/>
        <w:spacing w:line="216" w:lineRule="auto" w:before="13"/>
        <w:ind w:left="140" w:right="718"/>
        <w:jc w:val="both"/>
      </w:pPr>
      <w:r>
        <w:rPr>
          <w:w w:val="95"/>
        </w:rPr>
        <w:t>El potencial mutagénico de aripiprazol se ensayó en el ensayo de mutación inversa bacteriana in vitro, el ensayo de reparación del ADN bacteriano in vitro, el ensayo de mutación de genes hacia adelante in vitro en células de linfoma de ratón, el ensayo de aberración cromosómica in vitro en el pulmón de hámster chino (CHL) células, el ensayo de micronúcleos in vivo en ratones, y el ensayo de síntesis de ADN no programada en ratas. El aripiprazol y un metabolito (2,3-DCPP) eran clastogénico en el ensayo de aberración cromosómica in vitro en células CHL con y sin activación metabólica. El metabolito, 2,3-DCPP, produjo aumentos en aberraciones numéricas en el ensayo in vitro en células CHL en ausencia de activación metabólica. Se obtuvo una respuesta positiva en el ensayo de micronúcleos in vivo en ratones; Sin embargo, la respuesta fue debido a un mecanismo que no se considera relevante para los humanos.</w:t>
      </w:r>
    </w:p>
    <w:p>
      <w:pPr>
        <w:spacing w:line="182" w:lineRule="exact" w:before="22"/>
        <w:ind w:left="140" w:right="0" w:firstLine="0"/>
        <w:jc w:val="both"/>
        <w:rPr>
          <w:i/>
          <w:sz w:val="16"/>
        </w:rPr>
      </w:pPr>
      <w:r>
        <w:rPr>
          <w:i/>
          <w:sz w:val="16"/>
        </w:rPr>
        <w:t>Deterioro de la fertilidad</w:t>
      </w:r>
    </w:p>
    <w:p>
      <w:pPr>
        <w:pStyle w:val="BodyText"/>
        <w:spacing w:line="216" w:lineRule="auto" w:before="13"/>
        <w:ind w:left="140" w:right="717"/>
        <w:jc w:val="both"/>
      </w:pPr>
      <w:r>
        <w:rPr/>
        <w:t>Las ratas hembra fueron tratadas con dosis orales de 2, 6 y 20 mg / kg / día (0,6, 2 y 6 veces la dosis humana máxima recomendada [MRHD] sobre una base de mg / m2) de aripiprazol de 2 semanas antes del apareamiento hasta el día 7 de gestación. irregularidades del ciclo estro y aumento de cuerpos lúteos se observaron en todas las dosis, pero no se observaron alteraciones de la fertilidad. Aumento de la pérdida de preimplantación se vio a las 6 y 20 mg / kg / día y la disminución de peso fetal se observó a 20 mg / kg / día.</w:t>
      </w:r>
    </w:p>
    <w:p>
      <w:pPr>
        <w:pStyle w:val="BodyText"/>
        <w:spacing w:line="216" w:lineRule="auto" w:before="26"/>
        <w:ind w:left="140" w:right="717"/>
        <w:jc w:val="both"/>
      </w:pPr>
      <w:r>
        <w:rPr>
          <w:w w:val="90"/>
        </w:rPr>
        <w:t>Las ratas macho fueron tratadas con dosis orales de 20, 40, y 60 mg / kg / día (6, 13, y 19 veces la MRHD sobre una base de mg / m2) de aripiprazol de 9 semanas antes del apareamiento a través de apareamiento. Las alteraciones en la espermatogénesis se observaron a 60 mg / kg y atrofia de la próstata</w:t>
      </w:r>
      <w:r>
        <w:rPr/>
        <w:t>fue vista en 40 y 60 mg / kg, pero no se observó alteración de la fertilidad.</w:t>
      </w:r>
    </w:p>
    <w:p>
      <w:pPr>
        <w:pStyle w:val="Heading3"/>
        <w:spacing w:before="26"/>
        <w:jc w:val="both"/>
      </w:pPr>
      <w:r>
        <w:rPr>
          <w:w w:val="95"/>
        </w:rPr>
        <w:t>13.2 Toxicología y / o farmacología</w:t>
      </w:r>
    </w:p>
    <w:p>
      <w:pPr>
        <w:spacing w:line="182" w:lineRule="exact" w:before="38"/>
        <w:ind w:left="140" w:right="0" w:firstLine="0"/>
        <w:jc w:val="both"/>
        <w:rPr>
          <w:i/>
          <w:sz w:val="16"/>
        </w:rPr>
      </w:pPr>
      <w:r>
        <w:rPr>
          <w:i/>
          <w:w w:val="95"/>
          <w:sz w:val="16"/>
        </w:rPr>
        <w:t>El aripiprazol oral</w:t>
      </w:r>
    </w:p>
    <w:p>
      <w:pPr>
        <w:pStyle w:val="BodyText"/>
        <w:spacing w:line="216" w:lineRule="auto" w:before="13"/>
        <w:ind w:left="140" w:right="717"/>
        <w:jc w:val="both"/>
      </w:pPr>
      <w:r>
        <w:rPr>
          <w:w w:val="95"/>
        </w:rPr>
        <w:t>El aripiprazol produce la degeneración de la retina en ratas albinas en un 26-semanas estudio de toxicidad crónica a una dosis de 60 mg / kg y en un estudio de carcinogenicidad de 2 años a dosis de 40 y 60 mg / kg. Las dosis 40 y 60 mg / kg / día son 13 y 19 veces la dosis máxima recomendada en humanos (MRHD) basado en una exposición humana mg / m2 y 7 a 14 veces en MRHD basada en el AUC. Evaluación de las retinas de ratones albinos y de monos no reveló evidencia de degeneración de la retina. No se han realizado estudios adicionales para evaluar aún más el mecanismo. La relevancia de este hallazgo para</w:t>
      </w:r>
      <w:r>
        <w:rPr/>
        <w:t>riesgo en humanos es desconocida.</w:t>
      </w:r>
    </w:p>
    <w:p>
      <w:pPr>
        <w:spacing w:after="0" w:line="216" w:lineRule="auto"/>
        <w:jc w:val="both"/>
        <w:sectPr>
          <w:type w:val="continuous"/>
          <w:pgSz w:w="12240" w:h="15840"/>
          <w:pgMar w:top="600" w:bottom="280" w:left="580" w:right="0"/>
          <w:cols w:num="2" w:equalWidth="0">
            <w:col w:w="5461" w:space="59"/>
            <w:col w:w="6140"/>
          </w:cols>
        </w:sectPr>
      </w:pPr>
    </w:p>
    <w:p>
      <w:pPr>
        <w:pStyle w:val="BodyText"/>
        <w:spacing w:before="4"/>
        <w:rPr>
          <w:sz w:val="7"/>
        </w:rPr>
      </w:pPr>
    </w:p>
    <w:p>
      <w:pPr>
        <w:pStyle w:val="BodyText"/>
        <w:spacing w:line="100" w:lineRule="exact"/>
        <w:ind w:left="2749"/>
        <w:rPr>
          <w:sz w:val="10"/>
        </w:rPr>
      </w:pPr>
      <w:r>
        <w:rPr>
          <w:position w:val="-1"/>
          <w:sz w:val="10"/>
        </w:rPr>
        <w:drawing>
          <wp:inline distT="0" distB="0" distL="0" distR="0">
            <wp:extent cx="885164" cy="64007"/>
            <wp:effectExtent l="0" t="0" r="0" b="0"/>
            <wp:docPr id="49" name="image65.png" descr=""/>
            <wp:cNvGraphicFramePr>
              <a:graphicFrameLocks noChangeAspect="1"/>
            </wp:cNvGraphicFramePr>
            <a:graphic>
              <a:graphicData uri="http://schemas.openxmlformats.org/drawingml/2006/picture">
                <pic:pic>
                  <pic:nvPicPr>
                    <pic:cNvPr id="50" name="image65.png"/>
                    <pic:cNvPicPr/>
                  </pic:nvPicPr>
                  <pic:blipFill>
                    <a:blip r:embed="rId75" cstate="print"/>
                    <a:stretch>
                      <a:fillRect/>
                    </a:stretch>
                  </pic:blipFill>
                  <pic:spPr>
                    <a:xfrm>
                      <a:off x="0" y="0"/>
                      <a:ext cx="885164" cy="64007"/>
                    </a:xfrm>
                    <a:prstGeom prst="rect">
                      <a:avLst/>
                    </a:prstGeom>
                  </pic:spPr>
                </pic:pic>
              </a:graphicData>
            </a:graphic>
          </wp:inline>
        </w:drawing>
      </w:r>
      <w:r>
        <w:rPr>
          <w:position w:val="-1"/>
          <w:sz w:val="10"/>
        </w:rPr>
      </w:r>
    </w:p>
    <w:p>
      <w:pPr>
        <w:spacing w:after="0" w:line="100" w:lineRule="exact"/>
        <w:rPr>
          <w:sz w:val="10"/>
        </w:rPr>
        <w:sectPr>
          <w:type w:val="continuous"/>
          <w:pgSz w:w="12240" w:h="15840"/>
          <w:pgMar w:top="600" w:bottom="280" w:left="580" w:right="0"/>
        </w:sectPr>
      </w:pPr>
    </w:p>
    <w:p>
      <w:pPr>
        <w:spacing w:line="182" w:lineRule="exact" w:before="166"/>
        <w:ind w:left="140" w:right="0" w:firstLine="0"/>
        <w:jc w:val="left"/>
        <w:rPr>
          <w:i/>
          <w:sz w:val="16"/>
        </w:rPr>
      </w:pPr>
      <w:r>
        <w:rPr>
          <w:i/>
          <w:sz w:val="16"/>
        </w:rPr>
        <w:t>El aripiprazol intramuscular</w:t>
      </w:r>
    </w:p>
    <w:p>
      <w:pPr>
        <w:pStyle w:val="BodyText"/>
        <w:spacing w:line="216" w:lineRule="auto" w:before="13"/>
        <w:ind w:left="140" w:right="38"/>
        <w:jc w:val="both"/>
      </w:pPr>
      <w:r>
        <w:rPr>
          <w:w w:val="95"/>
        </w:rPr>
        <w:t>El perfil toxicológico de aripiprazol se administra a animales experimentales por inyección intramuscular es generalmente similar a la observada después de la administración oral en los niveles plasmáticos comparables de la droga. Con la inyección intramuscular, sin embargo, se observan reacciones tisulares sitio de la inyección que constan de inflamación localizada, inflamación, formación de costras y las reacciones de cuerpo extraño a fármaco depositado. estos efectos</w:t>
      </w:r>
      <w:r>
        <w:rPr/>
        <w:t>resuelto gradualmente con la interrupción de la dosificación.</w:t>
      </w:r>
    </w:p>
    <w:p>
      <w:pPr>
        <w:pStyle w:val="BodyText"/>
        <w:spacing w:line="213" w:lineRule="auto" w:before="41"/>
        <w:ind w:left="139" w:right="38"/>
        <w:jc w:val="both"/>
      </w:pPr>
      <w:r>
        <w:rPr>
          <w:w w:val="90"/>
        </w:rPr>
        <w:t>Después de 26 semanas de tratamiento en ratas, el nivel de no-de efecto adverso observado (NOAEL) fue de 50 mg / kg en ratas macho y 100 mg / kg en ratas hembra, que son aproximadamente 1 y 2 veces, respectivamente, el máximo recomendado dosis de 400 mg humano de la suspensión de aripiprazol inyectable de liberación prolongada en un área de superficie corporal mg / m2. En el NOAEL en ratas, los valores AUC7d eran 14,4 g • h / ml en los hombres y 104,1 g • h / mL</w:t>
      </w:r>
      <w:r>
        <w:rPr/>
        <w:t>en las hembras. En los perros a las 52 semanas de tratamiento en el NOAEL de 40 mg / kg, que es aproximadamente 3 veces la MRHD (400 mg) en un área de superficie corporal mg / m2, los valores AUC7d fueron de aproximadamente 59 g • h / ml en los hombres y 44 g • h / ml en las mujeres. En los pacientes en el MRHD de 400 mg, la AUC (0-28 días) fue 163 g • h / mL. Para la comparación a esta AUC humana, la extrapolación de los valores AUC7d animal a un resultados AUC28d en los valores AUC28d de aproximadamente 58 y 416 g • h / ml para las ratas macho y hembra, respectivamente, y 236 y 175 g • h / ml para hombres y mujeres perros, respectivamente.</w:t>
      </w:r>
    </w:p>
    <w:p>
      <w:pPr>
        <w:pStyle w:val="Heading3"/>
        <w:numPr>
          <w:ilvl w:val="0"/>
          <w:numId w:val="25"/>
        </w:numPr>
        <w:tabs>
          <w:tab w:pos="560" w:val="left" w:leader="none"/>
        </w:tabs>
        <w:spacing w:line="240" w:lineRule="auto" w:before="103" w:after="0"/>
        <w:ind w:left="559" w:right="0" w:hanging="420"/>
        <w:jc w:val="both"/>
      </w:pPr>
      <w:r>
        <w:rPr>
          <w:w w:val="95"/>
        </w:rPr>
        <w:t>ESTUDIOS CLÍNICOS</w:t>
      </w:r>
    </w:p>
    <w:p>
      <w:pPr>
        <w:pStyle w:val="BodyText"/>
        <w:spacing w:before="9"/>
        <w:rPr>
          <w:b/>
          <w:sz w:val="15"/>
        </w:rPr>
      </w:pPr>
      <w:r>
        <w:rPr/>
        <w:br w:type="column"/>
      </w:r>
      <w:r>
        <w:rPr>
          <w:b/>
          <w:sz w:val="15"/>
        </w:rPr>
      </w:r>
    </w:p>
    <w:p>
      <w:pPr>
        <w:spacing w:line="216" w:lineRule="auto" w:before="0"/>
        <w:ind w:left="859" w:right="301" w:hanging="720"/>
        <w:jc w:val="left"/>
        <w:rPr>
          <w:b/>
          <w:sz w:val="16"/>
        </w:rPr>
      </w:pPr>
      <w:r>
        <w:rPr>
          <w:b/>
          <w:w w:val="85"/>
          <w:sz w:val="16"/>
        </w:rPr>
        <w:t>Figura 24: semanal PANSS total Puntaje-Cambio en el estudio de 12 semanas, controlado con placebo con ABILIFY Mantenim</w:t>
      </w:r>
    </w:p>
    <w:p>
      <w:pPr>
        <w:spacing w:before="88"/>
        <w:ind w:left="1202" w:right="0" w:firstLine="0"/>
        <w:jc w:val="left"/>
        <w:rPr>
          <w:b/>
          <w:sz w:val="14"/>
        </w:rPr>
      </w:pPr>
      <w:r>
        <w:rPr>
          <w:b/>
          <w:color w:val="0F0F0F"/>
          <w:sz w:val="14"/>
        </w:rPr>
        <w:t>CAMBIO EN PANSS PUNTUACIÓN TOTAL desde el inicio</w:t>
      </w:r>
    </w:p>
    <w:p>
      <w:pPr>
        <w:spacing w:before="136"/>
        <w:ind w:left="0" w:right="4075" w:firstLine="0"/>
        <w:jc w:val="center"/>
        <w:rPr>
          <w:b/>
          <w:sz w:val="14"/>
        </w:rPr>
      </w:pPr>
      <w:r>
        <w:rPr/>
        <w:pict>
          <v:group style="position:absolute;margin-left:360.55899pt;margin-top:6.787693pt;width:214.3pt;height:138.85pt;mso-position-horizontal-relative:page;mso-position-vertical-relative:paragraph;z-index:1648" coordorigin="7211,136" coordsize="4286,2777">
            <v:rect style="position:absolute;left:9212;top:1948;width:77;height:68" filled="true" fillcolor="#151515" stroked="false">
              <v:fill type="solid"/>
            </v:rect>
            <v:shape style="position:absolute;left:7246;top:181;width:3981;height:2261" coordorigin="7246,181" coordsize="3981,2261" path="m7246,181l7568,888,7598,948,7894,1427,7942,1471,8563,1755,9228,1967,9287,1984,9889,2153,9939,2168,10561,2407,10621,2417,11227,2442e" filled="false" stroked="true" strokeweight=".712pt" strokecolor="#151515">
              <v:path arrowok="t"/>
              <v:stroke dashstyle="solid"/>
            </v:shape>
            <v:shape style="position:absolute;left:7211;top:135;width:4080;height:2351" coordorigin="7211,136" coordsize="4080,2351" path="m7288,136l7211,136,7211,203,7288,203,7288,136m7622,889l7545,889,7545,957,7622,957,7622,889m7955,1415l7878,1415,7878,1482,7955,1482,7955,1415m8626,1729l8550,1729,8550,1797,8626,1797,8626,1729m9957,2127l9880,2127,9880,2194,9957,2194,9957,2127m10627,2378l10550,2378,10550,2445,10627,2445,10627,2378m11291,2419l11214,2419,11214,2486,11291,2486,11291,2419e" filled="true" fillcolor="#151515" stroked="false">
              <v:path arrowok="t"/>
              <v:fill type="solid"/>
            </v:shape>
            <v:shape style="position:absolute;left:7259;top:204;width:3979;height:1039" coordorigin="7260,205" coordsize="3979,1039" path="m7260,205l7571,592,7904,877,8579,1015,9247,1052,9267,1052,9908,1004,9948,1016,10570,1166,10608,1174,11239,1244e" filled="false" stroked="true" strokeweight=".712pt" strokecolor="#727272">
              <v:path arrowok="t"/>
              <v:stroke dashstyle="solid"/>
            </v:shape>
            <v:shape style="position:absolute;left:7536;top:548;width:3782;height:748" coordorigin="7537,549" coordsize="3782,748" path="m7646,651l7591,549,7537,651,7646,651m7980,933l7924,831,7870,933,7980,933m8654,1069l8599,967,8544,1069,8654,1069m9322,1104l9267,1002,9212,1104,9322,1104m9984,1053l9929,951,9874,1053,9984,1053m10658,1214l10602,1112,10548,1214,10658,1214m11318,1296l11263,1194,11209,1296,11318,1296e" filled="true" fillcolor="#727272" stroked="false">
              <v:path arrowok="t"/>
              <v:fill type="solid"/>
            </v:shape>
            <v:rect style="position:absolute;left:8391;top:305;width:81;height:68" filled="true" fillcolor="#151515" stroked="false">
              <v:fill type="solid"/>
            </v:rect>
            <v:line style="position:absolute" from="10144,353" to="10396,353" stroked="true" strokeweight=".712pt" strokecolor="#727272">
              <v:stroke dashstyle="solid"/>
            </v:line>
            <v:shape style="position:absolute;left:10218;top:287;width:115;height:103" coordorigin="10218,288" coordsize="115,103" path="m10275,288l10218,390,10332,390,10275,288xe" filled="true" fillcolor="#727272" stroked="false">
              <v:path arrowok="t"/>
              <v:fill type="solid"/>
            </v:shape>
            <v:line style="position:absolute" from="7246,181" to="7251,2906" stroked="true" strokeweight=".534pt" strokecolor="#000000">
              <v:stroke dashstyle="solid"/>
            </v:line>
            <v:line style="position:absolute" from="11496,2877" to="7258,2877" stroked="true" strokeweight=".534pt" strokecolor="#000000">
              <v:stroke dashstyle="solid"/>
            </v:line>
            <v:line style="position:absolute" from="8303,339" to="8555,339" stroked="true" strokeweight=".712pt" strokecolor="#000000">
              <v:stroke dashstyle="solid"/>
            </v:line>
            <v:shape style="position:absolute;left:8626;top:268;width:1365;height:170" type="#_x0000_t202" filled="false" stroked="false">
              <v:textbox inset="0,0,0,0">
                <w:txbxContent>
                  <w:p>
                    <w:pPr>
                      <w:spacing w:before="5"/>
                      <w:ind w:left="0" w:right="0" w:firstLine="0"/>
                      <w:jc w:val="left"/>
                      <w:rPr>
                        <w:b/>
                        <w:sz w:val="14"/>
                      </w:rPr>
                    </w:pPr>
                    <w:r>
                      <w:rPr>
                        <w:b/>
                        <w:color w:val="0F0F0F"/>
                        <w:sz w:val="14"/>
                      </w:rPr>
                      <w:t>ABILIFY Mantenim</w:t>
                    </w:r>
                  </w:p>
                </w:txbxContent>
              </v:textbox>
              <w10:wrap type="none"/>
            </v:shape>
            <v:shape style="position:absolute;left:10437;top:268;width:717;height:170" type="#_x0000_t202" filled="false" stroked="false">
              <v:textbox inset="0,0,0,0">
                <w:txbxContent>
                  <w:p>
                    <w:pPr>
                      <w:spacing w:before="5"/>
                      <w:ind w:left="0" w:right="0" w:firstLine="0"/>
                      <w:jc w:val="left"/>
                      <w:rPr>
                        <w:b/>
                        <w:sz w:val="14"/>
                      </w:rPr>
                    </w:pPr>
                    <w:r>
                      <w:rPr>
                        <w:b/>
                        <w:color w:val="0F0F0F"/>
                        <w:sz w:val="14"/>
                      </w:rPr>
                      <w:t>PLACEBO</w:t>
                    </w:r>
                  </w:p>
                </w:txbxContent>
              </v:textbox>
              <w10:wrap type="none"/>
            </v:shape>
            <w10:wrap type="none"/>
          </v:group>
        </w:pict>
      </w:r>
      <w:r>
        <w:rPr/>
        <w:pict>
          <v:shape style="position:absolute;margin-left:321.618286pt;margin-top:16.768305pt;width:22.15pt;height:124.05pt;mso-position-horizontal-relative:page;mso-position-vertical-relative:paragraph;z-index:1672" type="#_x0000_t202" filled="false" stroked="false">
            <v:textbox inset="0,0,0,0" style="layout-flow:vertical;mso-layout-flow-alt:bottom-to-top">
              <w:txbxContent>
                <w:p>
                  <w:pPr>
                    <w:spacing w:line="244" w:lineRule="auto" w:before="25"/>
                    <w:ind w:left="466" w:right="14" w:hanging="447"/>
                    <w:jc w:val="left"/>
                    <w:rPr>
                      <w:b/>
                      <w:sz w:val="17"/>
                    </w:rPr>
                  </w:pPr>
                  <w:r>
                    <w:rPr>
                      <w:b/>
                      <w:color w:val="0F0F0F"/>
                      <w:sz w:val="17"/>
                    </w:rPr>
                    <w:t>Menos Squa</w:t>
                  </w:r>
                  <w:r>
                    <w:rPr>
                      <w:b/>
                      <w:color w:val="151515"/>
                      <w:sz w:val="17"/>
                    </w:rPr>
                    <w:t>r</w:t>
                  </w:r>
                  <w:r>
                    <w:rPr>
                      <w:b/>
                      <w:color w:val="0F0F0F"/>
                      <w:sz w:val="17"/>
                    </w:rPr>
                    <w:t>e cambio medio en PANNS Para</w:t>
                  </w:r>
                  <w:r>
                    <w:rPr>
                      <w:b/>
                      <w:color w:val="151515"/>
                      <w:sz w:val="17"/>
                    </w:rPr>
                    <w:t>t</w:t>
                  </w:r>
                  <w:r>
                    <w:rPr>
                      <w:b/>
                      <w:color w:val="0F0F0F"/>
                      <w:sz w:val="17"/>
                    </w:rPr>
                    <w:t>al Sco</w:t>
                  </w:r>
                  <w:r>
                    <w:rPr>
                      <w:b/>
                      <w:color w:val="151515"/>
                      <w:sz w:val="17"/>
                    </w:rPr>
                    <w:t>r</w:t>
                  </w:r>
                  <w:r>
                    <w:rPr>
                      <w:b/>
                      <w:color w:val="0F0F0F"/>
                      <w:sz w:val="17"/>
                    </w:rPr>
                    <w:t>mi</w:t>
                  </w:r>
                </w:p>
              </w:txbxContent>
            </v:textbox>
            <w10:wrap type="none"/>
          </v:shape>
        </w:pict>
      </w:r>
      <w:r>
        <w:rPr>
          <w:b/>
          <w:color w:val="0F0F0F"/>
          <w:w w:val="101"/>
          <w:sz w:val="14"/>
        </w:rPr>
        <w:t>0</w:t>
      </w:r>
    </w:p>
    <w:p>
      <w:pPr>
        <w:pStyle w:val="BodyText"/>
        <w:spacing w:before="6"/>
        <w:rPr>
          <w:b/>
          <w:sz w:val="22"/>
        </w:rPr>
      </w:pPr>
    </w:p>
    <w:p>
      <w:pPr>
        <w:spacing w:before="0"/>
        <w:ind w:left="941" w:right="0" w:firstLine="0"/>
        <w:jc w:val="left"/>
        <w:rPr>
          <w:b/>
          <w:sz w:val="14"/>
        </w:rPr>
      </w:pPr>
      <w:r>
        <w:rPr>
          <w:b/>
          <w:color w:val="0F0F0F"/>
          <w:sz w:val="14"/>
        </w:rPr>
        <w:t>-5</w:t>
      </w:r>
    </w:p>
    <w:p>
      <w:pPr>
        <w:pStyle w:val="BodyText"/>
        <w:spacing w:before="6"/>
        <w:rPr>
          <w:b/>
          <w:sz w:val="22"/>
        </w:rPr>
      </w:pPr>
    </w:p>
    <w:p>
      <w:pPr>
        <w:spacing w:before="0"/>
        <w:ind w:left="284" w:right="4469" w:firstLine="0"/>
        <w:jc w:val="center"/>
        <w:rPr>
          <w:b/>
          <w:sz w:val="14"/>
        </w:rPr>
      </w:pPr>
      <w:r>
        <w:rPr>
          <w:b/>
          <w:color w:val="0F0F0F"/>
          <w:sz w:val="14"/>
        </w:rPr>
        <w:t>-10</w:t>
      </w:r>
    </w:p>
    <w:p>
      <w:pPr>
        <w:pStyle w:val="BodyText"/>
        <w:spacing w:before="6"/>
        <w:rPr>
          <w:b/>
          <w:sz w:val="22"/>
        </w:rPr>
      </w:pPr>
    </w:p>
    <w:p>
      <w:pPr>
        <w:spacing w:before="0"/>
        <w:ind w:left="284" w:right="4479" w:firstLine="0"/>
        <w:jc w:val="center"/>
        <w:rPr>
          <w:b/>
          <w:sz w:val="14"/>
        </w:rPr>
      </w:pPr>
      <w:r>
        <w:rPr>
          <w:b/>
          <w:color w:val="0F0F0F"/>
          <w:sz w:val="14"/>
        </w:rPr>
        <w:t>-15</w:t>
      </w:r>
    </w:p>
    <w:p>
      <w:pPr>
        <w:pStyle w:val="BodyText"/>
        <w:spacing w:before="6"/>
        <w:rPr>
          <w:b/>
          <w:sz w:val="22"/>
        </w:rPr>
      </w:pPr>
    </w:p>
    <w:p>
      <w:pPr>
        <w:spacing w:before="0"/>
        <w:ind w:left="284" w:right="4503" w:firstLine="0"/>
        <w:jc w:val="center"/>
        <w:rPr>
          <w:b/>
          <w:sz w:val="14"/>
        </w:rPr>
      </w:pPr>
      <w:r>
        <w:rPr>
          <w:b/>
          <w:color w:val="0F0F0F"/>
          <w:sz w:val="14"/>
        </w:rPr>
        <w:t>-20</w:t>
      </w:r>
    </w:p>
    <w:p>
      <w:pPr>
        <w:pStyle w:val="BodyText"/>
        <w:spacing w:before="6"/>
        <w:rPr>
          <w:b/>
          <w:sz w:val="22"/>
        </w:rPr>
      </w:pPr>
    </w:p>
    <w:p>
      <w:pPr>
        <w:spacing w:before="0"/>
        <w:ind w:left="284" w:right="4503" w:firstLine="0"/>
        <w:jc w:val="center"/>
        <w:rPr>
          <w:b/>
          <w:sz w:val="14"/>
        </w:rPr>
      </w:pPr>
      <w:r>
        <w:rPr>
          <w:b/>
          <w:color w:val="0F0F0F"/>
          <w:sz w:val="14"/>
        </w:rPr>
        <w:t>-25</w:t>
      </w:r>
    </w:p>
    <w:p>
      <w:pPr>
        <w:pStyle w:val="BodyText"/>
        <w:spacing w:before="6"/>
        <w:rPr>
          <w:b/>
          <w:sz w:val="22"/>
        </w:rPr>
      </w:pPr>
    </w:p>
    <w:p>
      <w:pPr>
        <w:spacing w:before="0"/>
        <w:ind w:left="284" w:right="4503" w:firstLine="0"/>
        <w:jc w:val="center"/>
        <w:rPr>
          <w:b/>
          <w:sz w:val="14"/>
        </w:rPr>
      </w:pPr>
      <w:r>
        <w:rPr>
          <w:b/>
          <w:color w:val="0F0F0F"/>
          <w:sz w:val="14"/>
        </w:rPr>
        <w:t>-30</w:t>
      </w:r>
    </w:p>
    <w:p>
      <w:pPr>
        <w:spacing w:after="0"/>
        <w:jc w:val="center"/>
        <w:rPr>
          <w:sz w:val="14"/>
        </w:rPr>
        <w:sectPr>
          <w:pgSz w:w="12240" w:h="15840"/>
          <w:pgMar w:header="676" w:footer="367" w:top="860" w:bottom="640" w:left="580" w:right="0"/>
          <w:cols w:num="2" w:equalWidth="0">
            <w:col w:w="5461" w:space="59"/>
            <w:col w:w="6140"/>
          </w:cols>
        </w:sectPr>
      </w:pPr>
    </w:p>
    <w:p>
      <w:pPr>
        <w:pStyle w:val="Heading3"/>
        <w:numPr>
          <w:ilvl w:val="1"/>
          <w:numId w:val="25"/>
        </w:numPr>
        <w:tabs>
          <w:tab w:pos="560" w:val="left" w:leader="none"/>
        </w:tabs>
        <w:spacing w:line="182" w:lineRule="exact" w:before="25" w:after="0"/>
        <w:ind w:left="559" w:right="0" w:hanging="420"/>
        <w:jc w:val="left"/>
      </w:pPr>
      <w:r>
        <w:rPr>
          <w:w w:val="95"/>
        </w:rPr>
        <w:t>Esquizofrenia</w:t>
      </w:r>
    </w:p>
    <w:p>
      <w:pPr>
        <w:pStyle w:val="BodyText"/>
        <w:spacing w:line="182" w:lineRule="exact"/>
        <w:ind w:left="139"/>
      </w:pPr>
      <w:r>
        <w:rPr>
          <w:w w:val="90"/>
        </w:rPr>
        <w:t>La eficacia de ABILIFY Mantenim para el tratamiento de la esquizofrenia se estableció en:</w:t>
      </w:r>
    </w:p>
    <w:p>
      <w:pPr>
        <w:pStyle w:val="ListParagraph"/>
        <w:numPr>
          <w:ilvl w:val="0"/>
          <w:numId w:val="2"/>
        </w:numPr>
        <w:tabs>
          <w:tab w:pos="340" w:val="left" w:leader="none"/>
        </w:tabs>
        <w:spacing w:line="216" w:lineRule="auto" w:before="39" w:after="0"/>
        <w:ind w:left="339" w:right="38" w:hanging="200"/>
        <w:jc w:val="left"/>
        <w:rPr>
          <w:sz w:val="16"/>
        </w:rPr>
      </w:pPr>
      <w:r>
        <w:rPr>
          <w:w w:val="90"/>
          <w:sz w:val="16"/>
        </w:rPr>
        <w:t>Uno de corto plazo (12 semanas), aleatorizado, doble ciego, controlado con placebo en </w:t>
      </w:r>
      <w:r>
        <w:rPr>
          <w:sz w:val="16"/>
        </w:rPr>
        <w:t>adultos de forma aguda en recaída, Protocolo 31-12-291 (Estudio 1)</w:t>
      </w:r>
    </w:p>
    <w:p>
      <w:pPr>
        <w:pStyle w:val="BodyText"/>
        <w:rPr>
          <w:sz w:val="14"/>
        </w:rPr>
      </w:pPr>
      <w:r>
        <w:rPr/>
        <w:br w:type="column"/>
      </w:r>
      <w:r>
        <w:rPr>
          <w:sz w:val="14"/>
        </w:rPr>
      </w:r>
    </w:p>
    <w:p>
      <w:pPr>
        <w:spacing w:before="121"/>
        <w:ind w:left="139" w:right="0" w:firstLine="0"/>
        <w:jc w:val="left"/>
        <w:rPr>
          <w:b/>
          <w:sz w:val="13"/>
        </w:rPr>
      </w:pPr>
      <w:r>
        <w:rPr>
          <w:b/>
          <w:color w:val="0F0F0F"/>
          <w:sz w:val="13"/>
        </w:rPr>
        <w:t>ABILIFY</w:t>
      </w:r>
    </w:p>
    <w:p>
      <w:pPr>
        <w:tabs>
          <w:tab w:pos="494" w:val="left" w:leader="none"/>
          <w:tab w:pos="827" w:val="left" w:leader="none"/>
          <w:tab w:pos="1480" w:val="left" w:leader="none"/>
        </w:tabs>
        <w:spacing w:before="43"/>
        <w:ind w:left="139" w:right="0" w:firstLine="0"/>
        <w:jc w:val="left"/>
        <w:rPr>
          <w:b/>
          <w:sz w:val="14"/>
        </w:rPr>
      </w:pPr>
      <w:r>
        <w:rPr/>
        <w:br w:type="column"/>
      </w:r>
      <w:r>
        <w:rPr>
          <w:b/>
          <w:color w:val="0F0F0F"/>
          <w:sz w:val="14"/>
        </w:rPr>
        <w:t>012</w:t>
        <w:tab/>
        <w:tab/>
        <w:tab/>
      </w:r>
      <w:r>
        <w:rPr>
          <w:b/>
          <w:color w:val="0F0F0F"/>
          <w:spacing w:val="-20"/>
          <w:sz w:val="14"/>
        </w:rPr>
        <w:t>4</w:t>
      </w:r>
    </w:p>
    <w:p>
      <w:pPr>
        <w:tabs>
          <w:tab w:pos="1222" w:val="left" w:leader="none"/>
          <w:tab w:pos="1875" w:val="left" w:leader="none"/>
          <w:tab w:pos="2542" w:val="left" w:leader="none"/>
        </w:tabs>
        <w:spacing w:before="43"/>
        <w:ind w:left="564" w:right="0" w:firstLine="0"/>
        <w:jc w:val="left"/>
        <w:rPr>
          <w:b/>
          <w:sz w:val="14"/>
        </w:rPr>
      </w:pPr>
      <w:r>
        <w:rPr/>
        <w:br w:type="column"/>
      </w:r>
      <w:r>
        <w:rPr>
          <w:b/>
          <w:color w:val="0F0F0F"/>
          <w:sz w:val="14"/>
        </w:rPr>
        <w:t>681012</w:t>
        <w:tab/>
        <w:tab/>
        <w:tab/>
      </w:r>
    </w:p>
    <w:p>
      <w:pPr>
        <w:pStyle w:val="Heading1"/>
        <w:ind w:firstLine="0"/>
      </w:pPr>
      <w:r>
        <w:rPr/>
        <w:pict>
          <v:shape style="position:absolute;margin-left:309.934692pt;margin-top:8.451138pt;width:260.5pt;height:23.65pt;mso-position-horizontal-relative:page;mso-position-vertical-relative:paragraph;z-index:17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8"/>
                    <w:gridCol w:w="339"/>
                    <w:gridCol w:w="494"/>
                    <w:gridCol w:w="672"/>
                    <w:gridCol w:w="668"/>
                    <w:gridCol w:w="706"/>
                    <w:gridCol w:w="662"/>
                    <w:gridCol w:w="430"/>
                  </w:tblGrid>
                  <w:tr>
                    <w:trPr>
                      <w:trHeight w:val="242" w:hRule="atLeast"/>
                    </w:trPr>
                    <w:tc>
                      <w:tcPr>
                        <w:tcW w:w="1238" w:type="dxa"/>
                      </w:tcPr>
                      <w:p>
                        <w:pPr>
                          <w:pStyle w:val="TableParagraph"/>
                          <w:spacing w:before="47"/>
                          <w:ind w:right="88"/>
                          <w:jc w:val="right"/>
                          <w:rPr>
                            <w:b/>
                            <w:sz w:val="11"/>
                          </w:rPr>
                        </w:pPr>
                        <w:r>
                          <w:rPr>
                            <w:b/>
                            <w:color w:val="0F0F0F"/>
                            <w:position w:val="2"/>
                            <w:sz w:val="13"/>
                          </w:rPr>
                          <w:t>Mantenim </w:t>
                        </w:r>
                        <w:r>
                          <w:rPr>
                            <w:b/>
                            <w:color w:val="0F0F0F"/>
                            <w:sz w:val="11"/>
                          </w:rPr>
                          <w:t>n: 162</w:t>
                        </w:r>
                      </w:p>
                    </w:tc>
                    <w:tc>
                      <w:tcPr>
                        <w:tcW w:w="339" w:type="dxa"/>
                      </w:tcPr>
                      <w:p>
                        <w:pPr>
                          <w:pStyle w:val="TableParagraph"/>
                          <w:spacing w:before="86"/>
                          <w:ind w:left="61" w:right="44"/>
                          <w:jc w:val="center"/>
                          <w:rPr>
                            <w:b/>
                            <w:sz w:val="11"/>
                          </w:rPr>
                        </w:pPr>
                        <w:r>
                          <w:rPr>
                            <w:b/>
                            <w:color w:val="0F0F0F"/>
                            <w:w w:val="105"/>
                            <w:sz w:val="11"/>
                          </w:rPr>
                          <w:t>162</w:t>
                        </w:r>
                      </w:p>
                    </w:tc>
                    <w:tc>
                      <w:tcPr>
                        <w:tcW w:w="494" w:type="dxa"/>
                      </w:tcPr>
                      <w:p>
                        <w:pPr>
                          <w:pStyle w:val="TableParagraph"/>
                          <w:spacing w:before="86"/>
                          <w:ind w:left="66"/>
                          <w:rPr>
                            <w:b/>
                            <w:sz w:val="11"/>
                          </w:rPr>
                        </w:pPr>
                        <w:r>
                          <w:rPr>
                            <w:b/>
                            <w:color w:val="0F0F0F"/>
                            <w:w w:val="105"/>
                            <w:sz w:val="11"/>
                          </w:rPr>
                          <w:t>144</w:t>
                        </w:r>
                      </w:p>
                    </w:tc>
                    <w:tc>
                      <w:tcPr>
                        <w:tcW w:w="672" w:type="dxa"/>
                      </w:tcPr>
                      <w:p>
                        <w:pPr>
                          <w:pStyle w:val="TableParagraph"/>
                          <w:spacing w:before="86"/>
                          <w:ind w:left="218" w:right="221"/>
                          <w:jc w:val="center"/>
                          <w:rPr>
                            <w:b/>
                            <w:sz w:val="11"/>
                          </w:rPr>
                        </w:pPr>
                        <w:r>
                          <w:rPr>
                            <w:b/>
                            <w:color w:val="0F0F0F"/>
                            <w:w w:val="105"/>
                            <w:sz w:val="11"/>
                          </w:rPr>
                          <w:t>134</w:t>
                        </w:r>
                      </w:p>
                    </w:tc>
                    <w:tc>
                      <w:tcPr>
                        <w:tcW w:w="668" w:type="dxa"/>
                      </w:tcPr>
                      <w:p>
                        <w:pPr>
                          <w:pStyle w:val="TableParagraph"/>
                          <w:spacing w:before="86"/>
                          <w:ind w:left="222" w:right="213"/>
                          <w:jc w:val="center"/>
                          <w:rPr>
                            <w:b/>
                            <w:sz w:val="11"/>
                          </w:rPr>
                        </w:pPr>
                        <w:r>
                          <w:rPr>
                            <w:b/>
                            <w:color w:val="0F0F0F"/>
                            <w:w w:val="105"/>
                            <w:sz w:val="11"/>
                          </w:rPr>
                          <w:t>126</w:t>
                        </w:r>
                      </w:p>
                    </w:tc>
                    <w:tc>
                      <w:tcPr>
                        <w:tcW w:w="706" w:type="dxa"/>
                      </w:tcPr>
                      <w:p>
                        <w:pPr>
                          <w:pStyle w:val="TableParagraph"/>
                          <w:spacing w:before="86"/>
                          <w:ind w:left="233"/>
                          <w:rPr>
                            <w:b/>
                            <w:sz w:val="11"/>
                          </w:rPr>
                        </w:pPr>
                        <w:r>
                          <w:rPr>
                            <w:b/>
                            <w:color w:val="0F0F0F"/>
                            <w:w w:val="105"/>
                            <w:sz w:val="11"/>
                          </w:rPr>
                          <w:t>108</w:t>
                        </w:r>
                      </w:p>
                    </w:tc>
                    <w:tc>
                      <w:tcPr>
                        <w:tcW w:w="662" w:type="dxa"/>
                      </w:tcPr>
                      <w:p>
                        <w:pPr>
                          <w:pStyle w:val="TableParagraph"/>
                          <w:spacing w:before="86"/>
                          <w:ind w:left="260" w:right="233"/>
                          <w:jc w:val="center"/>
                          <w:rPr>
                            <w:b/>
                            <w:sz w:val="11"/>
                          </w:rPr>
                        </w:pPr>
                        <w:r>
                          <w:rPr>
                            <w:b/>
                            <w:color w:val="0F0F0F"/>
                            <w:w w:val="105"/>
                            <w:sz w:val="11"/>
                          </w:rPr>
                          <w:t>99</w:t>
                        </w:r>
                      </w:p>
                    </w:tc>
                    <w:tc>
                      <w:tcPr>
                        <w:tcW w:w="430" w:type="dxa"/>
                      </w:tcPr>
                      <w:p>
                        <w:pPr>
                          <w:pStyle w:val="TableParagraph"/>
                          <w:spacing w:before="86"/>
                          <w:ind w:right="47"/>
                          <w:jc w:val="right"/>
                          <w:rPr>
                            <w:b/>
                            <w:sz w:val="11"/>
                          </w:rPr>
                        </w:pPr>
                        <w:r>
                          <w:rPr>
                            <w:b/>
                            <w:color w:val="0F0F0F"/>
                            <w:sz w:val="11"/>
                          </w:rPr>
                          <w:t>99</w:t>
                        </w:r>
                      </w:p>
                    </w:tc>
                  </w:tr>
                  <w:tr>
                    <w:trPr>
                      <w:trHeight w:val="229" w:hRule="atLeast"/>
                    </w:trPr>
                    <w:tc>
                      <w:tcPr>
                        <w:tcW w:w="1238" w:type="dxa"/>
                      </w:tcPr>
                      <w:p>
                        <w:pPr>
                          <w:pStyle w:val="TableParagraph"/>
                          <w:spacing w:line="148" w:lineRule="exact" w:before="31"/>
                          <w:ind w:right="81"/>
                          <w:jc w:val="right"/>
                          <w:rPr>
                            <w:b/>
                            <w:sz w:val="11"/>
                          </w:rPr>
                        </w:pPr>
                        <w:r>
                          <w:rPr>
                            <w:b/>
                            <w:color w:val="0F0F0F"/>
                            <w:sz w:val="13"/>
                          </w:rPr>
                          <w:t>Placebo </w:t>
                        </w:r>
                        <w:r>
                          <w:rPr>
                            <w:b/>
                            <w:color w:val="0F0F0F"/>
                            <w:sz w:val="11"/>
                          </w:rPr>
                          <w:t>n: 167</w:t>
                        </w:r>
                      </w:p>
                    </w:tc>
                    <w:tc>
                      <w:tcPr>
                        <w:tcW w:w="339" w:type="dxa"/>
                      </w:tcPr>
                      <w:p>
                        <w:pPr>
                          <w:pStyle w:val="TableParagraph"/>
                          <w:spacing w:before="50"/>
                          <w:ind w:left="61" w:right="44"/>
                          <w:jc w:val="center"/>
                          <w:rPr>
                            <w:b/>
                            <w:sz w:val="11"/>
                          </w:rPr>
                        </w:pPr>
                        <w:r>
                          <w:rPr>
                            <w:b/>
                            <w:color w:val="0F0F0F"/>
                            <w:w w:val="105"/>
                            <w:sz w:val="11"/>
                          </w:rPr>
                          <w:t>167</w:t>
                        </w:r>
                      </w:p>
                    </w:tc>
                    <w:tc>
                      <w:tcPr>
                        <w:tcW w:w="494" w:type="dxa"/>
                      </w:tcPr>
                      <w:p>
                        <w:pPr>
                          <w:pStyle w:val="TableParagraph"/>
                          <w:spacing w:before="50"/>
                          <w:ind w:left="66"/>
                          <w:rPr>
                            <w:b/>
                            <w:sz w:val="11"/>
                          </w:rPr>
                        </w:pPr>
                        <w:r>
                          <w:rPr>
                            <w:b/>
                            <w:color w:val="0F0F0F"/>
                            <w:w w:val="105"/>
                            <w:sz w:val="11"/>
                          </w:rPr>
                          <w:t>157</w:t>
                        </w:r>
                      </w:p>
                    </w:tc>
                    <w:tc>
                      <w:tcPr>
                        <w:tcW w:w="672" w:type="dxa"/>
                      </w:tcPr>
                      <w:p>
                        <w:pPr>
                          <w:pStyle w:val="TableParagraph"/>
                          <w:spacing w:before="50"/>
                          <w:ind w:left="218" w:right="221"/>
                          <w:jc w:val="center"/>
                          <w:rPr>
                            <w:b/>
                            <w:sz w:val="11"/>
                          </w:rPr>
                        </w:pPr>
                        <w:r>
                          <w:rPr>
                            <w:b/>
                            <w:color w:val="0F0F0F"/>
                            <w:w w:val="105"/>
                            <w:sz w:val="11"/>
                          </w:rPr>
                          <w:t>140</w:t>
                        </w:r>
                      </w:p>
                    </w:tc>
                    <w:tc>
                      <w:tcPr>
                        <w:tcW w:w="668" w:type="dxa"/>
                      </w:tcPr>
                      <w:p>
                        <w:pPr>
                          <w:pStyle w:val="TableParagraph"/>
                          <w:spacing w:before="50"/>
                          <w:ind w:left="222" w:right="213"/>
                          <w:jc w:val="center"/>
                          <w:rPr>
                            <w:b/>
                            <w:sz w:val="11"/>
                          </w:rPr>
                        </w:pPr>
                        <w:r>
                          <w:rPr>
                            <w:b/>
                            <w:color w:val="0F0F0F"/>
                            <w:w w:val="105"/>
                            <w:sz w:val="11"/>
                          </w:rPr>
                          <w:t>117</w:t>
                        </w:r>
                      </w:p>
                    </w:tc>
                    <w:tc>
                      <w:tcPr>
                        <w:tcW w:w="706" w:type="dxa"/>
                      </w:tcPr>
                      <w:p>
                        <w:pPr>
                          <w:pStyle w:val="TableParagraph"/>
                          <w:spacing w:before="50"/>
                          <w:ind w:left="297"/>
                          <w:rPr>
                            <w:b/>
                            <w:sz w:val="11"/>
                          </w:rPr>
                        </w:pPr>
                        <w:r>
                          <w:rPr>
                            <w:b/>
                            <w:color w:val="0F0F0F"/>
                            <w:w w:val="105"/>
                            <w:sz w:val="11"/>
                          </w:rPr>
                          <w:t>96</w:t>
                        </w:r>
                      </w:p>
                    </w:tc>
                    <w:tc>
                      <w:tcPr>
                        <w:tcW w:w="662" w:type="dxa"/>
                      </w:tcPr>
                      <w:p>
                        <w:pPr>
                          <w:pStyle w:val="TableParagraph"/>
                          <w:spacing w:before="50"/>
                          <w:ind w:left="260" w:right="233"/>
                          <w:jc w:val="center"/>
                          <w:rPr>
                            <w:b/>
                            <w:sz w:val="11"/>
                          </w:rPr>
                        </w:pPr>
                        <w:r>
                          <w:rPr>
                            <w:b/>
                            <w:color w:val="0F0F0F"/>
                            <w:w w:val="105"/>
                            <w:sz w:val="11"/>
                          </w:rPr>
                          <w:t>81</w:t>
                        </w:r>
                      </w:p>
                    </w:tc>
                    <w:tc>
                      <w:tcPr>
                        <w:tcW w:w="430" w:type="dxa"/>
                      </w:tcPr>
                      <w:p>
                        <w:pPr>
                          <w:pStyle w:val="TableParagraph"/>
                          <w:spacing w:before="50"/>
                          <w:ind w:right="47"/>
                          <w:jc w:val="right"/>
                          <w:rPr>
                            <w:b/>
                            <w:sz w:val="11"/>
                          </w:rPr>
                        </w:pPr>
                        <w:r>
                          <w:rPr>
                            <w:b/>
                            <w:color w:val="0F0F0F"/>
                            <w:sz w:val="11"/>
                          </w:rPr>
                          <w:t>68</w:t>
                        </w:r>
                      </w:p>
                    </w:tc>
                  </w:tr>
                </w:tbl>
                <w:p>
                  <w:pPr>
                    <w:pStyle w:val="BodyText"/>
                  </w:pPr>
                </w:p>
              </w:txbxContent>
            </v:textbox>
            <w10:wrap type="none"/>
          </v:shape>
        </w:pict>
      </w:r>
      <w:r>
        <w:rPr/>
        <w:t>Semanas de tratamiento</w:t>
      </w:r>
    </w:p>
    <w:p>
      <w:pPr>
        <w:spacing w:after="0"/>
        <w:sectPr>
          <w:type w:val="continuous"/>
          <w:pgSz w:w="12240" w:h="15840"/>
          <w:pgMar w:top="600" w:bottom="280" w:left="580" w:right="0"/>
          <w:cols w:num="4" w:equalWidth="0">
            <w:col w:w="5460" w:space="246"/>
            <w:col w:w="679" w:space="112"/>
            <w:col w:w="1560" w:space="39"/>
            <w:col w:w="3564"/>
          </w:cols>
        </w:sectPr>
      </w:pPr>
    </w:p>
    <w:p>
      <w:pPr>
        <w:pStyle w:val="ListParagraph"/>
        <w:numPr>
          <w:ilvl w:val="0"/>
          <w:numId w:val="2"/>
        </w:numPr>
        <w:tabs>
          <w:tab w:pos="340" w:val="left" w:leader="none"/>
        </w:tabs>
        <w:spacing w:line="216" w:lineRule="auto" w:before="42" w:after="0"/>
        <w:ind w:left="339" w:right="39" w:hanging="200"/>
        <w:jc w:val="left"/>
        <w:rPr>
          <w:sz w:val="16"/>
        </w:rPr>
      </w:pPr>
      <w:r>
        <w:rPr>
          <w:w w:val="95"/>
          <w:sz w:val="16"/>
        </w:rPr>
        <w:t>Uno más largo plazo, doble ciego, controlado con placebo, aleatorizado, la retirada </w:t>
      </w:r>
      <w:r>
        <w:rPr>
          <w:sz w:val="16"/>
        </w:rPr>
        <w:t>(Mantenimiento) de prueba en los adultos, Protocolo 31-07-246 (Estudio 2).</w:t>
      </w:r>
    </w:p>
    <w:p>
      <w:pPr>
        <w:spacing w:before="27"/>
        <w:ind w:left="139" w:right="0" w:firstLine="0"/>
        <w:jc w:val="both"/>
        <w:rPr>
          <w:i/>
          <w:sz w:val="16"/>
        </w:rPr>
      </w:pPr>
      <w:r>
        <w:rPr>
          <w:i/>
          <w:sz w:val="16"/>
        </w:rPr>
        <w:t>Eficacia a corto plazo</w:t>
      </w:r>
    </w:p>
    <w:p>
      <w:pPr>
        <w:pStyle w:val="BodyText"/>
        <w:spacing w:line="216" w:lineRule="auto" w:before="24"/>
        <w:ind w:left="139" w:right="38"/>
        <w:jc w:val="both"/>
      </w:pPr>
      <w:r>
        <w:rPr>
          <w:w w:val="95"/>
        </w:rPr>
        <w:t>En, aleatorizado, doble ciego, controlado con placebo a corto plazo (12 semanas) </w:t>
      </w:r>
      <w:r>
        <w:rPr/>
        <w:t>en los adultos de forma aguda en recaída (Estudio 1), la medida principal que se utiliza para la evaluación de los signos y síntomas psiquiátricos fue la Escala de Síntomas Positivos y Negativos (PANSS). La PANSS es una escala de 30 ítems que mide los síntomas positivos de la esquizofrenia (7 artículos), síntomas negativos de la esquizofrenia (7 artículos), y la psicopatología general (16 artículos), cada puntuación en una escala de 1 (ausente) a 7 (extremo ); las puntuaciones totales de PANSS van desde 30 a 210. El criterio de valoración principal fue el cambio desde el inicio en la puntuación total de la PANSS a la semana 10.</w:t>
      </w:r>
    </w:p>
    <w:p>
      <w:pPr>
        <w:pStyle w:val="BodyText"/>
        <w:spacing w:line="216" w:lineRule="auto" w:before="24"/>
        <w:ind w:left="139" w:right="38"/>
        <w:jc w:val="both"/>
      </w:pPr>
      <w:r>
        <w:rPr/>
        <w:t>Los criterios de inclusión para este ensayo a corto plazo incluyeron pacientes adultos que cumplían los criterios del DSM-IV-TR para la esquizofrenia. Además, todos los pacientes que entraron en el ensayo deben haber experimentado un episodio psicótico agudo como se define tanto por la puntuación PANSS total</w:t>
      </w:r>
    </w:p>
    <w:p>
      <w:pPr>
        <w:pStyle w:val="BodyText"/>
        <w:spacing w:line="216" w:lineRule="auto"/>
        <w:ind w:left="139" w:right="38"/>
        <w:jc w:val="both"/>
      </w:pPr>
      <w:r>
        <w:rPr>
          <w:w w:val="90"/>
        </w:rPr>
        <w:t>≥80 y una puntuación PANSS de&gt; 4 en cada uno de los cuatro síntomas psicóticos específicos (desorganización conceptual, comportamiento alucinatorio, desconfianza / persecución, el contenido del pensamiento inusual) en la detección y la línea de base. La variable secundaria de valoración fue el cambio desde la línea base en la Impresión Clínica Global de Severidad (CGI-S) a escala de evaluación de la semana 10. El CGI-S clasifica la gravedad de la enfermedad mental en una escala de 1 (normal) a 7 (entre los más extremadamente enfermo) en base a la experiencia clínica total del evaluador en el tratamiento de pacientes con esquizofrenia. Los pacientes tenían una puntuación PANSS total media de 103 (rango 82</w:t>
      </w:r>
      <w:r>
        <w:rPr/>
        <w:t>a 144) y una puntuación CGI-S de 5,2 (marcadamente enfermo) en la entrada.</w:t>
      </w:r>
    </w:p>
    <w:p>
      <w:pPr>
        <w:pStyle w:val="BodyText"/>
        <w:spacing w:line="216" w:lineRule="auto" w:before="22"/>
        <w:ind w:left="139" w:right="38"/>
        <w:jc w:val="both"/>
      </w:pPr>
      <w:r>
        <w:rPr>
          <w:w w:val="95"/>
        </w:rPr>
        <w:t>En este estudio de 12 semanas (n = 339) comparar ABILIFY Mantenim (n = 167) con el placebo (n = 172), se administraron los pacientes 400 mg ABILIFY Mantenim o placebo en </w:t>
      </w:r>
      <w:r>
        <w:rPr/>
        <w:t>los días 0, 28, y 56. La dosis puede ser ajustado hacia arriba y abajo dentro de la gama de 400 a 300 mg en una base de una sola vez. ABILIFY Mantenim fue superior al placebo en la mejora de la puntuación total de la PANSS al final de la semana 10 (véase la Tabla 9).</w:t>
      </w:r>
    </w:p>
    <w:p>
      <w:pPr>
        <w:pStyle w:val="Heading3"/>
        <w:spacing w:before="54"/>
        <w:ind w:left="139"/>
        <w:jc w:val="both"/>
      </w:pPr>
      <w:r>
        <w:rPr>
          <w:w w:val="95"/>
        </w:rPr>
        <w:t>Tabla 9: La esquizofrenia estudio a corto plazo</w:t>
      </w:r>
    </w:p>
    <w:p>
      <w:pPr>
        <w:spacing w:before="129"/>
        <w:ind w:left="139" w:right="0" w:firstLine="0"/>
        <w:jc w:val="left"/>
        <w:rPr>
          <w:b/>
          <w:sz w:val="16"/>
        </w:rPr>
      </w:pPr>
      <w:r>
        <w:rPr/>
        <w:br w:type="column"/>
      </w:r>
      <w:r>
        <w:rPr>
          <w:b/>
          <w:w w:val="95"/>
          <w:sz w:val="16"/>
        </w:rPr>
        <w:t>n = el número de pacientes que permanecen en el respectivo brazo de estudio en cada punto temporal</w:t>
      </w:r>
    </w:p>
    <w:p>
      <w:pPr>
        <w:spacing w:before="89"/>
        <w:ind w:left="139" w:right="0" w:firstLine="0"/>
        <w:jc w:val="left"/>
        <w:rPr>
          <w:i/>
          <w:sz w:val="16"/>
        </w:rPr>
      </w:pPr>
      <w:r>
        <w:rPr>
          <w:i/>
          <w:sz w:val="16"/>
        </w:rPr>
        <w:t>La eficacia a largo plazo</w:t>
      </w:r>
    </w:p>
    <w:p>
      <w:pPr>
        <w:pStyle w:val="BodyText"/>
        <w:spacing w:line="216" w:lineRule="auto" w:before="25"/>
        <w:ind w:left="139" w:right="717"/>
        <w:jc w:val="both"/>
      </w:pPr>
      <w:r>
        <w:rPr/>
        <w:t>La eficacia de ABILIFY Mantenim a mantener el control sintomático en la esquizofrenia se estableció en un estudio doble ciego, controlado con placebo, el juicio retirada randomized- en pacientes adultos (Estudio 2) que cumplían los criterios DSM-IV-TR para la esquizofrenia y que estaban siendo tratados con al menos un medicamento antipsicótico. Los pacientes tenían al menos una historia de 3 años de enfermedad y antecedentes de recaída o exacerbación de los síntomas al no recibir el tratamiento antipsicótico.</w:t>
      </w:r>
    </w:p>
    <w:p>
      <w:pPr>
        <w:pStyle w:val="BodyText"/>
        <w:spacing w:before="10"/>
        <w:ind w:left="139"/>
      </w:pPr>
      <w:r>
        <w:rPr/>
        <w:t>Además de la PANSS y CGI-S, los índices clínicos durante este ensayo incluyeron el:</w:t>
      </w:r>
    </w:p>
    <w:p>
      <w:pPr>
        <w:pStyle w:val="ListParagraph"/>
        <w:numPr>
          <w:ilvl w:val="0"/>
          <w:numId w:val="2"/>
        </w:numPr>
        <w:tabs>
          <w:tab w:pos="425" w:val="left" w:leader="none"/>
        </w:tabs>
        <w:spacing w:line="216" w:lineRule="auto" w:before="25" w:after="0"/>
        <w:ind w:left="424" w:right="719" w:hanging="285"/>
        <w:jc w:val="both"/>
        <w:rPr>
          <w:sz w:val="16"/>
        </w:rPr>
      </w:pPr>
      <w:r>
        <w:rPr>
          <w:w w:val="95"/>
          <w:sz w:val="16"/>
        </w:rPr>
        <w:t>escala de Impresión Clínica Global de Mejora (CGI-I), una escala de 1 (muy mejorado mucho) a 7 (mucho peor) basado en el cambio desde el inicio en clínica </w:t>
      </w:r>
      <w:r>
        <w:rPr>
          <w:sz w:val="16"/>
        </w:rPr>
        <w:t>condiciones y</w:t>
      </w:r>
    </w:p>
    <w:p>
      <w:pPr>
        <w:pStyle w:val="ListParagraph"/>
        <w:numPr>
          <w:ilvl w:val="0"/>
          <w:numId w:val="2"/>
        </w:numPr>
        <w:tabs>
          <w:tab w:pos="425" w:val="left" w:leader="none"/>
        </w:tabs>
        <w:spacing w:line="216" w:lineRule="auto" w:before="26" w:after="0"/>
        <w:ind w:left="424" w:right="717" w:hanging="285"/>
        <w:jc w:val="both"/>
        <w:rPr>
          <w:sz w:val="16"/>
        </w:rPr>
      </w:pPr>
      <w:r>
        <w:rPr>
          <w:w w:val="90"/>
          <w:sz w:val="16"/>
        </w:rPr>
        <w:t>Impresión Clínica Global de Severidad de suicidio (CGI-SS) escala, que se compone de 2 partes: Parte 1 clasifica la gravedad de los pensamientos y comportamientos suicidas en una escala de 1 (nada suicida) a 5 (intento de suicidio) sobre la base de el nivel más grave en los últimos 7 días a partir de toda la información disponible para el evaluador y la Parte 2 clasifica el cambio desde el inicio en los pensamientos suicidas y comportamiento en una escala de 1 (muy </w:t>
      </w:r>
      <w:r>
        <w:rPr>
          <w:sz w:val="16"/>
        </w:rPr>
        <w:t>muy mejorado) a 7 (mucho peor).</w:t>
      </w:r>
    </w:p>
    <w:p>
      <w:pPr>
        <w:pStyle w:val="BodyText"/>
        <w:spacing w:line="182" w:lineRule="exact" w:before="25"/>
        <w:ind w:left="139"/>
      </w:pPr>
      <w:r>
        <w:rPr/>
        <w:t>Este ensayo incluyó:</w:t>
      </w:r>
    </w:p>
    <w:p>
      <w:pPr>
        <w:pStyle w:val="ListParagraph"/>
        <w:numPr>
          <w:ilvl w:val="0"/>
          <w:numId w:val="2"/>
        </w:numPr>
        <w:tabs>
          <w:tab w:pos="440" w:val="left" w:leader="none"/>
        </w:tabs>
        <w:spacing w:line="216" w:lineRule="auto" w:before="13" w:after="0"/>
        <w:ind w:left="439" w:right="718" w:hanging="300"/>
        <w:jc w:val="both"/>
        <w:rPr>
          <w:sz w:val="16"/>
        </w:rPr>
      </w:pPr>
      <w:r>
        <w:rPr>
          <w:w w:val="95"/>
          <w:sz w:val="16"/>
        </w:rPr>
        <w:t>A 4 a 6 semanas abierto, de fase de conversión oral para los pacientes en los medicamentos antipsicóticos distintos de aripiprazol. Un total de 633 pacientes entró en esta fase.</w:t>
      </w:r>
    </w:p>
    <w:p>
      <w:pPr>
        <w:pStyle w:val="ListParagraph"/>
        <w:numPr>
          <w:ilvl w:val="0"/>
          <w:numId w:val="2"/>
        </w:numPr>
        <w:tabs>
          <w:tab w:pos="440" w:val="left" w:leader="none"/>
        </w:tabs>
        <w:spacing w:line="216" w:lineRule="auto" w:before="27" w:after="0"/>
        <w:ind w:left="439" w:right="717" w:hanging="300"/>
        <w:jc w:val="both"/>
        <w:rPr>
          <w:sz w:val="16"/>
        </w:rPr>
      </w:pPr>
      <w:r>
        <w:rPr>
          <w:w w:val="95"/>
          <w:sz w:val="16"/>
        </w:rPr>
        <w:t>Un ensayo abierto, fase de estabilización aripiprazol oral (dosis objetivo de 10 mg a 30 mg una vez al día). Un total de 710 pacientes entró en esta fase. Los pacientes tenían entre 18 y 60 años (media 40 años) y el 60% eran hombres. La media de puntuación PANSS total fue de 66 (intervalo 33 a 124). La media de la puntuación CGI-S fue de 3,5 (ligeramente a moderadamente enfermos). Con anterioridad a la siguiente fase, se requiere estabilización. Estabilización se define como tener todas las características siguientes durante cuatro semanas consecutivas: un estado de paciente externo, la puntuación PANSS total ≤80, CGI-S ≤4 (moderadamente enfermos), y la puntuación CGI-SS ≤2 (levemente suicida) en la Parte 1 y ≤ 5 (mínimamente empeorado) en la Parte 2; y una veintena de ≤4 en cada uno de los siguientes ítems de la PANSS: desorganización conceptual, desconfianza,</w:t>
      </w:r>
    </w:p>
    <w:p>
      <w:pPr>
        <w:spacing w:after="0" w:line="216" w:lineRule="auto"/>
        <w:jc w:val="both"/>
        <w:rPr>
          <w:sz w:val="16"/>
        </w:rPr>
        <w:sectPr>
          <w:type w:val="continuous"/>
          <w:pgSz w:w="12240" w:h="15840"/>
          <w:pgMar w:top="600" w:bottom="280" w:left="580" w:right="0"/>
          <w:cols w:num="2" w:equalWidth="0">
            <w:col w:w="5461" w:space="59"/>
            <w:col w:w="6140"/>
          </w:cols>
        </w:sectPr>
      </w:pPr>
    </w:p>
    <w:p>
      <w:pPr>
        <w:pStyle w:val="BodyText"/>
        <w:spacing w:before="173"/>
        <w:ind w:right="38"/>
        <w:jc w:val="right"/>
      </w:pPr>
      <w:r>
        <w:rPr/>
        <w:pict>
          <v:shape style="position:absolute;margin-left:36pt;margin-top:-24.728992pt;width:264.850pt;height:89.6pt;mso-position-horizontal-relative:page;mso-position-vertical-relative:paragraph;z-index:16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8"/>
                    <w:gridCol w:w="1350"/>
                    <w:gridCol w:w="864"/>
                    <w:gridCol w:w="864"/>
                    <w:gridCol w:w="1440"/>
                  </w:tblGrid>
                  <w:tr>
                    <w:trPr>
                      <w:trHeight w:val="238" w:hRule="atLeast"/>
                    </w:trPr>
                    <w:tc>
                      <w:tcPr>
                        <w:tcW w:w="748" w:type="dxa"/>
                        <w:vMerge w:val="restart"/>
                      </w:tcPr>
                      <w:p>
                        <w:pPr>
                          <w:pStyle w:val="TableParagraph"/>
                          <w:rPr>
                            <w:sz w:val="20"/>
                          </w:rPr>
                        </w:pPr>
                      </w:p>
                      <w:p>
                        <w:pPr>
                          <w:pStyle w:val="TableParagraph"/>
                          <w:spacing w:line="235" w:lineRule="auto" w:before="117"/>
                          <w:ind w:left="126" w:firstLine="73"/>
                          <w:rPr>
                            <w:b/>
                            <w:sz w:val="16"/>
                          </w:rPr>
                        </w:pPr>
                        <w:r>
                          <w:rPr>
                            <w:b/>
                            <w:w w:val="90"/>
                            <w:sz w:val="16"/>
                          </w:rPr>
                          <w:t>Número de estudio</w:t>
                        </w:r>
                      </w:p>
                    </w:tc>
                    <w:tc>
                      <w:tcPr>
                        <w:tcW w:w="1350" w:type="dxa"/>
                        <w:vMerge w:val="restart"/>
                      </w:tcPr>
                      <w:p>
                        <w:pPr>
                          <w:pStyle w:val="TableParagraph"/>
                          <w:rPr>
                            <w:sz w:val="20"/>
                          </w:rPr>
                        </w:pPr>
                      </w:p>
                      <w:p>
                        <w:pPr>
                          <w:pStyle w:val="TableParagraph"/>
                          <w:spacing w:before="8"/>
                          <w:rPr>
                            <w:sz w:val="17"/>
                          </w:rPr>
                        </w:pPr>
                      </w:p>
                      <w:p>
                        <w:pPr>
                          <w:pStyle w:val="TableParagraph"/>
                          <w:spacing w:before="1"/>
                          <w:ind w:left="160"/>
                          <w:rPr>
                            <w:b/>
                            <w:sz w:val="16"/>
                          </w:rPr>
                        </w:pPr>
                        <w:r>
                          <w:rPr>
                            <w:b/>
                            <w:w w:val="90"/>
                            <w:sz w:val="16"/>
                          </w:rPr>
                          <w:t>Grupo de tratamiento</w:t>
                        </w:r>
                      </w:p>
                    </w:tc>
                    <w:tc>
                      <w:tcPr>
                        <w:tcW w:w="3168" w:type="dxa"/>
                        <w:gridSpan w:val="3"/>
                      </w:tcPr>
                      <w:p>
                        <w:pPr>
                          <w:pStyle w:val="TableParagraph"/>
                          <w:spacing w:before="27"/>
                          <w:ind w:left="182"/>
                          <w:rPr>
                            <w:b/>
                            <w:sz w:val="16"/>
                          </w:rPr>
                        </w:pPr>
                        <w:r>
                          <w:rPr>
                            <w:b/>
                            <w:spacing w:val="-4"/>
                            <w:w w:val="90"/>
                            <w:sz w:val="16"/>
                          </w:rPr>
                          <w:t>Medida de eficacia primaria: PANSS puntuación total</w:t>
                        </w:r>
                      </w:p>
                    </w:tc>
                  </w:tr>
                  <w:tr>
                    <w:trPr>
                      <w:trHeight w:val="794" w:hRule="atLeast"/>
                    </w:trPr>
                    <w:tc>
                      <w:tcPr>
                        <w:tcW w:w="748" w:type="dxa"/>
                        <w:vMerge/>
                        <w:tcBorders>
                          <w:top w:val="nil"/>
                        </w:tcBorders>
                      </w:tcPr>
                      <w:p>
                        <w:pPr>
                          <w:rPr>
                            <w:sz w:val="2"/>
                            <w:szCs w:val="2"/>
                          </w:rPr>
                        </w:pPr>
                      </w:p>
                    </w:tc>
                    <w:tc>
                      <w:tcPr>
                        <w:tcW w:w="1350" w:type="dxa"/>
                        <w:vMerge/>
                        <w:tcBorders>
                          <w:top w:val="nil"/>
                        </w:tcBorders>
                      </w:tcPr>
                      <w:p>
                        <w:pPr>
                          <w:rPr>
                            <w:sz w:val="2"/>
                            <w:szCs w:val="2"/>
                          </w:rPr>
                        </w:pPr>
                      </w:p>
                    </w:tc>
                    <w:tc>
                      <w:tcPr>
                        <w:tcW w:w="864" w:type="dxa"/>
                      </w:tcPr>
                      <w:p>
                        <w:pPr>
                          <w:pStyle w:val="TableParagraph"/>
                          <w:spacing w:line="235" w:lineRule="auto" w:before="128"/>
                          <w:ind w:left="19"/>
                          <w:jc w:val="center"/>
                          <w:rPr>
                            <w:b/>
                            <w:sz w:val="16"/>
                          </w:rPr>
                        </w:pPr>
                        <w:r>
                          <w:rPr>
                            <w:b/>
                            <w:w w:val="95"/>
                            <w:sz w:val="16"/>
                          </w:rPr>
                          <w:t>La media de la puntuación inicial (SD)</w:t>
                        </w:r>
                      </w:p>
                    </w:tc>
                    <w:tc>
                      <w:tcPr>
                        <w:tcW w:w="864" w:type="dxa"/>
                      </w:tcPr>
                      <w:p>
                        <w:pPr>
                          <w:pStyle w:val="TableParagraph"/>
                          <w:spacing w:line="235" w:lineRule="auto" w:before="38"/>
                          <w:ind w:left="36" w:right="18" w:hanging="1"/>
                          <w:jc w:val="center"/>
                          <w:rPr>
                            <w:b/>
                            <w:sz w:val="16"/>
                          </w:rPr>
                        </w:pPr>
                        <w:r>
                          <w:rPr>
                            <w:b/>
                            <w:w w:val="95"/>
                            <w:sz w:val="16"/>
                          </w:rPr>
                          <w:t>LS Cambio medio desde el valor inicial (SE)</w:t>
                        </w:r>
                      </w:p>
                    </w:tc>
                    <w:tc>
                      <w:tcPr>
                        <w:tcW w:w="1440" w:type="dxa"/>
                      </w:tcPr>
                      <w:p>
                        <w:pPr>
                          <w:pStyle w:val="TableParagraph"/>
                          <w:spacing w:before="10"/>
                          <w:rPr>
                            <w:sz w:val="18"/>
                          </w:rPr>
                        </w:pPr>
                      </w:p>
                      <w:p>
                        <w:pPr>
                          <w:pStyle w:val="TableParagraph"/>
                          <w:spacing w:line="235" w:lineRule="auto" w:before="1"/>
                          <w:ind w:left="89" w:right="64" w:firstLine="33"/>
                          <w:rPr>
                            <w:b/>
                            <w:sz w:val="16"/>
                          </w:rPr>
                        </w:pPr>
                        <w:r>
                          <w:rPr>
                            <w:b/>
                            <w:spacing w:val="-4"/>
                            <w:w w:val="85"/>
                            <w:sz w:val="16"/>
                          </w:rPr>
                          <w:t>Diferencia sustracción de placebo</w:t>
                        </w:r>
                        <w:r>
                          <w:rPr>
                            <w:b/>
                            <w:spacing w:val="-4"/>
                            <w:w w:val="90"/>
                            <w:position w:val="5"/>
                            <w:sz w:val="9"/>
                          </w:rPr>
                          <w:t>una </w:t>
                        </w:r>
                        <w:r>
                          <w:rPr>
                            <w:b/>
                            <w:spacing w:val="-3"/>
                            <w:w w:val="90"/>
                            <w:sz w:val="16"/>
                          </w:rPr>
                          <w:t>(CI 95%)</w:t>
                        </w:r>
                      </w:p>
                    </w:tc>
                  </w:tr>
                  <w:tr>
                    <w:trPr>
                      <w:trHeight w:val="418" w:hRule="atLeast"/>
                    </w:trPr>
                    <w:tc>
                      <w:tcPr>
                        <w:tcW w:w="748" w:type="dxa"/>
                        <w:vMerge w:val="restart"/>
                      </w:tcPr>
                      <w:p>
                        <w:pPr>
                          <w:pStyle w:val="TableParagraph"/>
                          <w:spacing w:before="4"/>
                          <w:rPr>
                            <w:sz w:val="21"/>
                          </w:rPr>
                        </w:pPr>
                      </w:p>
                      <w:p>
                        <w:pPr>
                          <w:pStyle w:val="TableParagraph"/>
                          <w:ind w:left="143"/>
                          <w:rPr>
                            <w:sz w:val="16"/>
                          </w:rPr>
                        </w:pPr>
                        <w:r>
                          <w:rPr>
                            <w:sz w:val="16"/>
                          </w:rPr>
                          <w:t>estudio 1</w:t>
                        </w:r>
                      </w:p>
                    </w:tc>
                    <w:tc>
                      <w:tcPr>
                        <w:tcW w:w="1350" w:type="dxa"/>
                      </w:tcPr>
                      <w:p>
                        <w:pPr>
                          <w:pStyle w:val="TableParagraph"/>
                          <w:spacing w:line="182" w:lineRule="exact" w:before="27"/>
                          <w:ind w:left="29" w:right="13"/>
                          <w:jc w:val="center"/>
                          <w:rPr>
                            <w:sz w:val="16"/>
                          </w:rPr>
                        </w:pPr>
                        <w:r>
                          <w:rPr>
                            <w:w w:val="85"/>
                            <w:sz w:val="16"/>
                          </w:rPr>
                          <w:t>ABILIFY Mantenim</w:t>
                        </w:r>
                      </w:p>
                      <w:p>
                        <w:pPr>
                          <w:pStyle w:val="TableParagraph"/>
                          <w:spacing w:line="182" w:lineRule="exact"/>
                          <w:ind w:left="29" w:right="13"/>
                          <w:jc w:val="center"/>
                          <w:rPr>
                            <w:sz w:val="16"/>
                          </w:rPr>
                        </w:pPr>
                        <w:r>
                          <w:rPr>
                            <w:sz w:val="16"/>
                          </w:rPr>
                          <w:t>(400 a 300 mg)</w:t>
                        </w:r>
                      </w:p>
                    </w:tc>
                    <w:tc>
                      <w:tcPr>
                        <w:tcW w:w="864" w:type="dxa"/>
                      </w:tcPr>
                      <w:p>
                        <w:pPr>
                          <w:pStyle w:val="TableParagraph"/>
                          <w:spacing w:before="117"/>
                          <w:ind w:left="16"/>
                          <w:jc w:val="center"/>
                          <w:rPr>
                            <w:sz w:val="16"/>
                          </w:rPr>
                        </w:pPr>
                        <w:r>
                          <w:rPr>
                            <w:w w:val="95"/>
                            <w:sz w:val="16"/>
                          </w:rPr>
                          <w:t>102,4 (11,4)</w:t>
                        </w:r>
                      </w:p>
                    </w:tc>
                    <w:tc>
                      <w:tcPr>
                        <w:tcW w:w="864" w:type="dxa"/>
                      </w:tcPr>
                      <w:p>
                        <w:pPr>
                          <w:pStyle w:val="TableParagraph"/>
                          <w:spacing w:before="117"/>
                          <w:ind w:right="93"/>
                          <w:jc w:val="right"/>
                          <w:rPr>
                            <w:sz w:val="16"/>
                          </w:rPr>
                        </w:pPr>
                        <w:r>
                          <w:rPr>
                            <w:w w:val="95"/>
                            <w:sz w:val="16"/>
                          </w:rPr>
                          <w:t>-26,8 (1,6)</w:t>
                        </w:r>
                      </w:p>
                    </w:tc>
                    <w:tc>
                      <w:tcPr>
                        <w:tcW w:w="1440" w:type="dxa"/>
                      </w:tcPr>
                      <w:p>
                        <w:pPr>
                          <w:pStyle w:val="TableParagraph"/>
                          <w:spacing w:before="117"/>
                          <w:ind w:left="31" w:right="15"/>
                          <w:jc w:val="center"/>
                          <w:rPr>
                            <w:sz w:val="16"/>
                          </w:rPr>
                        </w:pPr>
                        <w:r>
                          <w:rPr>
                            <w:sz w:val="16"/>
                          </w:rPr>
                          <w:t>-15,1 (-19,4, -10,8)</w:t>
                        </w:r>
                      </w:p>
                    </w:tc>
                  </w:tr>
                  <w:tr>
                    <w:trPr>
                      <w:trHeight w:val="238" w:hRule="atLeast"/>
                    </w:trPr>
                    <w:tc>
                      <w:tcPr>
                        <w:tcW w:w="748" w:type="dxa"/>
                        <w:vMerge/>
                        <w:tcBorders>
                          <w:top w:val="nil"/>
                        </w:tcBorders>
                      </w:tcPr>
                      <w:p>
                        <w:pPr>
                          <w:rPr>
                            <w:sz w:val="2"/>
                            <w:szCs w:val="2"/>
                          </w:rPr>
                        </w:pPr>
                      </w:p>
                    </w:tc>
                    <w:tc>
                      <w:tcPr>
                        <w:tcW w:w="1350" w:type="dxa"/>
                      </w:tcPr>
                      <w:p>
                        <w:pPr>
                          <w:pStyle w:val="TableParagraph"/>
                          <w:spacing w:before="27"/>
                          <w:ind w:left="438"/>
                          <w:rPr>
                            <w:sz w:val="16"/>
                          </w:rPr>
                        </w:pPr>
                        <w:r>
                          <w:rPr>
                            <w:w w:val="95"/>
                            <w:sz w:val="16"/>
                          </w:rPr>
                          <w:t>Placebo</w:t>
                        </w:r>
                      </w:p>
                    </w:tc>
                    <w:tc>
                      <w:tcPr>
                        <w:tcW w:w="864" w:type="dxa"/>
                      </w:tcPr>
                      <w:p>
                        <w:pPr>
                          <w:pStyle w:val="TableParagraph"/>
                          <w:spacing w:before="27"/>
                          <w:ind w:left="16"/>
                          <w:jc w:val="center"/>
                          <w:rPr>
                            <w:sz w:val="16"/>
                          </w:rPr>
                        </w:pPr>
                        <w:r>
                          <w:rPr>
                            <w:w w:val="95"/>
                            <w:sz w:val="16"/>
                          </w:rPr>
                          <w:t>103,4 (11,1)</w:t>
                        </w:r>
                      </w:p>
                    </w:tc>
                    <w:tc>
                      <w:tcPr>
                        <w:tcW w:w="864" w:type="dxa"/>
                      </w:tcPr>
                      <w:p>
                        <w:pPr>
                          <w:pStyle w:val="TableParagraph"/>
                          <w:spacing w:before="27"/>
                          <w:ind w:right="93"/>
                          <w:jc w:val="right"/>
                          <w:rPr>
                            <w:sz w:val="16"/>
                          </w:rPr>
                        </w:pPr>
                        <w:r>
                          <w:rPr>
                            <w:w w:val="95"/>
                            <w:sz w:val="16"/>
                          </w:rPr>
                          <w:t>-11,7 (1,6)</w:t>
                        </w:r>
                      </w:p>
                    </w:tc>
                    <w:tc>
                      <w:tcPr>
                        <w:tcW w:w="1440" w:type="dxa"/>
                      </w:tcPr>
                      <w:p>
                        <w:pPr>
                          <w:pStyle w:val="TableParagraph"/>
                          <w:spacing w:before="27"/>
                          <w:ind w:left="31" w:right="15"/>
                          <w:jc w:val="center"/>
                          <w:rPr>
                            <w:sz w:val="16"/>
                          </w:rPr>
                        </w:pPr>
                        <w:r>
                          <w:rPr>
                            <w:sz w:val="16"/>
                          </w:rPr>
                          <w:t>-</w:t>
                        </w:r>
                      </w:p>
                    </w:tc>
                  </w:tr>
                </w:tbl>
                <w:p>
                  <w:pPr>
                    <w:pStyle w:val="BodyText"/>
                  </w:pPr>
                </w:p>
              </w:txbxContent>
            </v:textbox>
            <w10:wrap type="none"/>
          </v:shape>
        </w:pict>
      </w:r>
      <w:r>
        <w:rPr>
          <w:w w:val="95"/>
        </w:rPr>
        <w:t>•</w:t>
      </w:r>
    </w:p>
    <w:p>
      <w:pPr>
        <w:pStyle w:val="BodyText"/>
        <w:rPr>
          <w:sz w:val="20"/>
        </w:rPr>
      </w:pPr>
    </w:p>
    <w:p>
      <w:pPr>
        <w:pStyle w:val="BodyText"/>
        <w:rPr>
          <w:sz w:val="20"/>
        </w:rPr>
      </w:pPr>
    </w:p>
    <w:p>
      <w:pPr>
        <w:pStyle w:val="BodyText"/>
        <w:rPr>
          <w:sz w:val="20"/>
        </w:rPr>
      </w:pPr>
    </w:p>
    <w:p>
      <w:pPr>
        <w:pStyle w:val="BodyText"/>
        <w:spacing w:before="7"/>
        <w:rPr>
          <w:sz w:val="23"/>
        </w:rPr>
      </w:pPr>
    </w:p>
    <w:p>
      <w:pPr>
        <w:pStyle w:val="BodyText"/>
        <w:spacing w:line="157" w:lineRule="exact"/>
        <w:ind w:left="139"/>
      </w:pPr>
      <w:r>
        <w:rPr>
          <w:w w:val="95"/>
        </w:rPr>
        <w:t>SD: desviación estándar; SE: error estándar; LS decir: de mínimos cuadrados medios;</w:t>
      </w:r>
    </w:p>
    <w:p>
      <w:pPr>
        <w:pStyle w:val="BodyText"/>
        <w:spacing w:line="164" w:lineRule="exact"/>
        <w:ind w:left="139"/>
      </w:pPr>
      <w:r>
        <w:rPr/>
        <w:br w:type="column"/>
      </w:r>
      <w:r>
        <w:rPr/>
        <w:t>el comportamiento alucinatorio, y el contenido del pensamiento inusual.</w:t>
      </w:r>
    </w:p>
    <w:p>
      <w:pPr>
        <w:pStyle w:val="BodyText"/>
        <w:spacing w:line="216" w:lineRule="auto" w:before="24"/>
        <w:ind w:left="139" w:right="715"/>
        <w:jc w:val="both"/>
      </w:pPr>
      <w:r>
        <w:rPr/>
        <w:t>A, simple ciego de fase mínima de 12 semanas no controlada ABILIFY Mantenim estabilización (tratamiento con 400 mg de ABILIFY Mantenim dadas cada 4 semanas en conjunción con aripiprazol oral de [10 mg a 20 mg / día] para las primeras 2 semanas). La dosis de ABILIFY Mantenim puede haber sido disminuido a 300 mg debido a reacciones adversas. Un total de 576 pacientes entró en esta fase. La media puntuación PANSS total fue de 59 (rango 30 a 80) y la media puntuación CGI-S fue 3,2 (levemente enfermo). Antes de la siguiente fase, se requiere estabilización (véase más arriba para la definición de estabilización) durante 12 semanas consecutivas.</w:t>
      </w:r>
    </w:p>
    <w:p>
      <w:pPr>
        <w:spacing w:after="0" w:line="216" w:lineRule="auto"/>
        <w:jc w:val="both"/>
        <w:sectPr>
          <w:type w:val="continuous"/>
          <w:pgSz w:w="12240" w:h="15840"/>
          <w:pgMar w:top="600" w:bottom="280" w:left="580" w:right="0"/>
          <w:cols w:num="2" w:equalWidth="0">
            <w:col w:w="5754" w:space="66"/>
            <w:col w:w="5840"/>
          </w:cols>
        </w:sectPr>
      </w:pPr>
    </w:p>
    <w:p>
      <w:pPr>
        <w:pStyle w:val="BodyText"/>
        <w:spacing w:line="146" w:lineRule="exact"/>
        <w:ind w:left="139"/>
      </w:pPr>
      <w:r>
        <w:rPr/>
        <w:t>IC: intervalo de confianza no ajustados.</w:t>
      </w:r>
    </w:p>
    <w:p>
      <w:pPr>
        <w:pStyle w:val="BodyText"/>
        <w:spacing w:line="174" w:lineRule="exact"/>
        <w:ind w:left="140"/>
      </w:pPr>
      <w:r>
        <w:rPr>
          <w:w w:val="95"/>
          <w:position w:val="5"/>
          <w:sz w:val="9"/>
        </w:rPr>
        <w:t>una </w:t>
      </w:r>
      <w:r>
        <w:rPr>
          <w:w w:val="95"/>
        </w:rPr>
        <w:t>Diferencia (medicamento menos placebo) en mínimos cuadrados cambio medio desde la línea de base.</w:t>
      </w:r>
    </w:p>
    <w:p>
      <w:pPr>
        <w:pStyle w:val="BodyText"/>
        <w:spacing w:line="216" w:lineRule="auto" w:before="82"/>
        <w:ind w:left="139" w:right="38"/>
        <w:jc w:val="both"/>
      </w:pPr>
      <w:r>
        <w:rPr>
          <w:w w:val="90"/>
        </w:rPr>
        <w:t>El cambio en la puntuación PANSS total por semana se muestra en la Figura 24. ABILIFY Mantenim también mostró mejoría en los síntomas representados por CGI-S puntuación media de cambio desde el inicio hasta la semana 10. Los resultados de subgrupo exploratorio análisis por género, raza, edad, origen étnico, y el IMC fueron similares a los resultados de la población general.</w:t>
      </w:r>
    </w:p>
    <w:p>
      <w:pPr>
        <w:pStyle w:val="ListParagraph"/>
        <w:numPr>
          <w:ilvl w:val="0"/>
          <w:numId w:val="2"/>
        </w:numPr>
        <w:tabs>
          <w:tab w:pos="440" w:val="left" w:leader="none"/>
        </w:tabs>
        <w:spacing w:line="216" w:lineRule="auto" w:before="24" w:after="0"/>
        <w:ind w:left="439" w:right="717" w:hanging="300"/>
        <w:jc w:val="both"/>
        <w:rPr>
          <w:sz w:val="16"/>
        </w:rPr>
      </w:pPr>
      <w:r>
        <w:rPr>
          <w:w w:val="83"/>
          <w:sz w:val="16"/>
        </w:rPr>
        <w:br w:type="column"/>
      </w:r>
      <w:r>
        <w:rPr>
          <w:w w:val="90"/>
          <w:sz w:val="16"/>
        </w:rPr>
        <w:t>A, aleatorizado de fase-retirada controlado con placebo doble ciego para observar de recaída (definido a continuación). Un total de 403 pacientes fueron asignados al azar 2: 1 a la misma dosis de ABILIFY Mantenim que estaban recibiendo al final de la estabilización</w:t>
      </w:r>
      <w:r>
        <w:rPr>
          <w:sz w:val="16"/>
        </w:rPr>
        <w:t>fase, (400 mg o 300 mg administrados una vez cada 4 semanas) o placebo. Los pacientes tenían una puntuación PANSS total media de 55 (31 Intervalo de a 80) y una puntuación CGI-S de 2,9 (levemente enfermo) en la entrada. La dosis podría ser ajustado hacia arriba y hacia abajo o hacia arriba y abajo dentro de la gama de 300 a 400 mg en una base de una sola vez.</w:t>
      </w:r>
    </w:p>
    <w:p>
      <w:pPr>
        <w:spacing w:after="0" w:line="216" w:lineRule="auto"/>
        <w:jc w:val="both"/>
        <w:rPr>
          <w:sz w:val="16"/>
        </w:rPr>
        <w:sectPr>
          <w:type w:val="continuous"/>
          <w:pgSz w:w="12240" w:h="15840"/>
          <w:pgMar w:top="600" w:bottom="280" w:left="580" w:right="0"/>
          <w:cols w:num="2" w:equalWidth="0">
            <w:col w:w="5461" w:space="59"/>
            <w:col w:w="6140"/>
          </w:cols>
        </w:sectPr>
      </w:pPr>
    </w:p>
    <w:p>
      <w:pPr>
        <w:pStyle w:val="BodyText"/>
        <w:spacing w:before="9"/>
        <w:rPr>
          <w:sz w:val="15"/>
        </w:rPr>
      </w:pPr>
    </w:p>
    <w:p>
      <w:pPr>
        <w:pStyle w:val="BodyText"/>
        <w:spacing w:line="216" w:lineRule="auto"/>
        <w:ind w:left="140" w:right="40"/>
        <w:jc w:val="both"/>
      </w:pPr>
      <w:r>
        <w:rPr>
          <w:w w:val="90"/>
        </w:rPr>
        <w:t>La variable principal de eficacia fue el tiempo desde la aleatorización hasta la recaída. recaída fue</w:t>
      </w:r>
      <w:r>
        <w:rPr/>
        <w:t>definida como la primera aparición de uno o más de los siguientes criterios:</w:t>
      </w:r>
    </w:p>
    <w:p>
      <w:pPr>
        <w:pStyle w:val="ListParagraph"/>
        <w:numPr>
          <w:ilvl w:val="0"/>
          <w:numId w:val="2"/>
        </w:numPr>
        <w:tabs>
          <w:tab w:pos="424" w:val="left" w:leader="none"/>
          <w:tab w:pos="425" w:val="left" w:leader="none"/>
        </w:tabs>
        <w:spacing w:line="240" w:lineRule="auto" w:before="12" w:after="0"/>
        <w:ind w:left="424" w:right="0" w:hanging="284"/>
        <w:jc w:val="left"/>
        <w:rPr>
          <w:sz w:val="16"/>
        </w:rPr>
      </w:pPr>
      <w:r>
        <w:rPr>
          <w:sz w:val="16"/>
        </w:rPr>
        <w:t>CGI-I de ≥5 (mínimamente peor) y</w:t>
      </w:r>
    </w:p>
    <w:p>
      <w:pPr>
        <w:pStyle w:val="ListParagraph"/>
        <w:numPr>
          <w:ilvl w:val="0"/>
          <w:numId w:val="26"/>
        </w:numPr>
        <w:tabs>
          <w:tab w:pos="752" w:val="left" w:leader="none"/>
        </w:tabs>
        <w:spacing w:line="216" w:lineRule="auto" w:before="25" w:after="0"/>
        <w:ind w:left="751" w:right="39" w:hanging="180"/>
        <w:jc w:val="both"/>
        <w:rPr>
          <w:sz w:val="16"/>
        </w:rPr>
      </w:pPr>
      <w:r>
        <w:rPr>
          <w:w w:val="95"/>
          <w:sz w:val="16"/>
        </w:rPr>
        <w:t>un aumento en cualquiera de los siguientes elementos individuales (PANSS desorganización conceptual, comportamiento alucinatorio, desconfianza, el contenido del pensamiento inusual) a un puntaje&gt; 4 con un aumento absoluto de ≥2 sobre ese tema específico </w:t>
      </w:r>
      <w:r>
        <w:rPr>
          <w:sz w:val="16"/>
        </w:rPr>
        <w:t>desde la asignación al azar o</w:t>
      </w:r>
    </w:p>
    <w:p>
      <w:pPr>
        <w:pStyle w:val="ListParagraph"/>
        <w:numPr>
          <w:ilvl w:val="0"/>
          <w:numId w:val="26"/>
        </w:numPr>
        <w:tabs>
          <w:tab w:pos="752" w:val="left" w:leader="none"/>
        </w:tabs>
        <w:spacing w:line="216" w:lineRule="auto" w:before="27" w:after="0"/>
        <w:ind w:left="751" w:right="40" w:hanging="180"/>
        <w:jc w:val="both"/>
        <w:rPr>
          <w:sz w:val="16"/>
        </w:rPr>
      </w:pPr>
      <w:r>
        <w:rPr>
          <w:w w:val="95"/>
          <w:sz w:val="16"/>
        </w:rPr>
        <w:t>un aumento en cualquiera de los siguientes elementos individuales de la PANSS (desorganización conceptual, el comportamiento alucinatorio, suspicacia, pensamiento inusual </w:t>
      </w:r>
      <w:r>
        <w:rPr>
          <w:sz w:val="16"/>
        </w:rPr>
        <w:t>contenido) a un puntaje&gt; 4 y un aumento absoluto ≥4 en los cuatro ítems de la PANSS combinados (desorganización conceptual, el comportamiento alucinatorio, la desconfianza, el contenido del pensamiento inusual) desde la aleatorización</w:t>
      </w:r>
    </w:p>
    <w:p>
      <w:pPr>
        <w:pStyle w:val="ListParagraph"/>
        <w:numPr>
          <w:ilvl w:val="0"/>
          <w:numId w:val="2"/>
        </w:numPr>
        <w:tabs>
          <w:tab w:pos="424" w:val="left" w:leader="none"/>
          <w:tab w:pos="425" w:val="left" w:leader="none"/>
        </w:tabs>
        <w:spacing w:line="216" w:lineRule="auto" w:before="25" w:after="0"/>
        <w:ind w:left="424" w:right="39" w:hanging="284"/>
        <w:jc w:val="left"/>
        <w:rPr>
          <w:sz w:val="16"/>
        </w:rPr>
      </w:pPr>
      <w:r>
        <w:rPr>
          <w:w w:val="95"/>
          <w:sz w:val="16"/>
        </w:rPr>
        <w:t>La hospitalización debido al empeoramiento de los síntomas psicóticos (incluyendo parcial </w:t>
      </w:r>
      <w:r>
        <w:rPr>
          <w:sz w:val="16"/>
        </w:rPr>
        <w:t>hospitalización), pero excluyendo la hospitalización por razones psicosociales</w:t>
      </w:r>
    </w:p>
    <w:p>
      <w:pPr>
        <w:pStyle w:val="ListParagraph"/>
        <w:numPr>
          <w:ilvl w:val="0"/>
          <w:numId w:val="2"/>
        </w:numPr>
        <w:tabs>
          <w:tab w:pos="424" w:val="left" w:leader="none"/>
          <w:tab w:pos="425" w:val="left" w:leader="none"/>
        </w:tabs>
        <w:spacing w:line="216" w:lineRule="auto" w:before="28" w:after="0"/>
        <w:ind w:left="424" w:right="38" w:hanging="284"/>
        <w:jc w:val="left"/>
        <w:rPr>
          <w:sz w:val="16"/>
        </w:rPr>
      </w:pPr>
      <w:r>
        <w:rPr>
          <w:sz w:val="16"/>
        </w:rPr>
        <w:t>CGI-SS de 4 (severamente suicida) o 5 (intento de suicidio) en la Parte 1 y / o 6 (mucho peor) o 7 (mucho peor) en la Parte 2, o</w:t>
      </w:r>
    </w:p>
    <w:p>
      <w:pPr>
        <w:pStyle w:val="ListParagraph"/>
        <w:numPr>
          <w:ilvl w:val="0"/>
          <w:numId w:val="2"/>
        </w:numPr>
        <w:tabs>
          <w:tab w:pos="424" w:val="left" w:leader="none"/>
          <w:tab w:pos="425" w:val="left" w:leader="none"/>
        </w:tabs>
        <w:spacing w:line="216" w:lineRule="auto" w:before="27" w:after="0"/>
        <w:ind w:left="424" w:right="40" w:hanging="284"/>
        <w:jc w:val="left"/>
        <w:rPr>
          <w:sz w:val="16"/>
        </w:rPr>
      </w:pPr>
      <w:r>
        <w:rPr>
          <w:w w:val="95"/>
          <w:sz w:val="16"/>
        </w:rPr>
        <w:t>El comportamiento violento que resulta en clínicamente significativa de auto-lesión, daño a otra </w:t>
      </w:r>
      <w:r>
        <w:rPr>
          <w:sz w:val="16"/>
        </w:rPr>
        <w:t>persona, o daños a la propiedad.</w:t>
      </w:r>
    </w:p>
    <w:p>
      <w:pPr>
        <w:pStyle w:val="BodyText"/>
        <w:spacing w:line="216" w:lineRule="auto" w:before="28"/>
        <w:ind w:left="139" w:right="39"/>
        <w:jc w:val="both"/>
      </w:pPr>
      <w:r>
        <w:rPr>
          <w:w w:val="90"/>
        </w:rPr>
        <w:t>Un análisis intermedio pre-planificado demostró un tiempo estadísticamente significativamente más largo hasta la recaída en pacientes asignados al azar al grupo ABILIFY Mantenim comparación con los pacientes tratados con placebo y el ensayo se dio por terminado posteriormente temprano porque mantenimiento de la eficacia se demostró. El análisis final demostró una</w:t>
      </w:r>
      <w:r>
        <w:rPr/>
        <w:t>estadísticamente significativamente más tiempo hasta la recaída en pacientes asignados al azar al grupo ABILIFY Mantenim que en comparación con los pacientes tratados con placebo. Las curvas de Kaplan-Meier de la proporción acumulada de pacientes con recaída durante la fase de tratamiento doble ciego para ABILIFY Mantenim y grupos de placebo se muestran en la Figura 25.</w:t>
      </w:r>
    </w:p>
    <w:p>
      <w:pPr>
        <w:pStyle w:val="Heading3"/>
        <w:spacing w:line="216" w:lineRule="auto" w:before="37"/>
        <w:ind w:left="874" w:right="7" w:hanging="720"/>
        <w:rPr>
          <w:sz w:val="9"/>
        </w:rPr>
      </w:pPr>
      <w:r>
        <w:rPr>
          <w:w w:val="90"/>
        </w:rPr>
        <w:t>Figura 25: Kaplan-Meier Estimación de la proporción acumulada de pacientes con Relapse1</w:t>
      </w:r>
    </w:p>
    <w:p>
      <w:pPr>
        <w:spacing w:before="40"/>
        <w:ind w:left="634" w:right="0" w:firstLine="0"/>
        <w:jc w:val="left"/>
        <w:rPr>
          <w:b/>
          <w:sz w:val="10"/>
        </w:rPr>
      </w:pPr>
      <w:r>
        <w:rPr/>
        <w:pict>
          <v:shape style="position:absolute;margin-left:-.522pt;margin-top:410.308228pt;width:1.45pt;height:89.35pt;mso-position-horizontal-relative:page;mso-position-vertical-relative:paragraph;z-index:2440" coordorigin="-10,8206" coordsize="29,1787" path="m1478,1717l1496,1717m1478,1672l1496,1672m1478,1622l1496,1622m1478,1573l1496,1573m1468,1524l1496,1524m1478,1622l1496,1622m1478,1479l1496,1479m1478,1429l1496,1429m1478,1380l1496,1380m1478,1331l1496,1331m1468,1286l1496,1286m1478,1381l1496,1381m1478,1237l1496,1237m1478,1188l1496,1188m1478,1138l1496,1138m1478,1093l1496,1093m1468,1044l1496,1044m1478,1139l1496,1139m1478,994l1496,994m1478,945l1496,945m1478,900l1496,900m1478,851l1496,851m1468,801l1496,801m1478,900l1496,900m1478,752l1496,752m1478,706l1496,706m1478,657l1496,657m1478,609l1496,609m1468,559l1496,559m1478,658l1496,658m1478,513l1496,513m1478,466l1496,466m1478,415l1496,415m1478,366l1496,366m1468,321l1496,321m1478,416l1496,416m1478,271l1496,271m1478,222l1496,222m1478,173l1496,173m1478,173l1496,173m1478,1960l1496,1960m1478,1910l1496,1910m1478,1864l1496,1864m1478,1815l1496,1815m1468,1766l1496,1766m1478,1864l1496,1864e" filled="false" stroked="true" strokeweight=".19pt" strokecolor="#000000">
            <v:path arrowok="t"/>
            <v:stroke dashstyle="solid"/>
            <w10:wrap type="none"/>
          </v:shape>
        </w:pict>
      </w:r>
      <w:r>
        <w:rPr/>
        <w:pict>
          <v:group style="position:absolute;margin-left:146.686005pt;margin-top:8.389333pt;width:143.25pt;height:50.35pt;mso-position-horizontal-relative:page;mso-position-vertical-relative:paragraph;z-index:2512" coordorigin="2934,168" coordsize="2865,1007">
            <v:shape style="position:absolute;left:2933;top:1136;width:21;height:38" coordorigin="2934,1136" coordsize="21,38" path="m2954,1163l2954,1136,2939,1136,2939,1163,2934,1163,2934,1174,2954,1174,2954,1163e" filled="true" fillcolor="#000000" stroked="false">
              <v:path arrowok="t"/>
              <v:fill type="solid"/>
            </v:shape>
            <v:line style="position:absolute" from="2944,1138" to="3218,1138" stroked="true" strokeweight=".546pt" strokecolor="#000000">
              <v:stroke dashstyle="solid"/>
            </v:line>
            <v:shape style="position:absolute;left:3202;top:1067;width:61;height:71" coordorigin="3202,1067" coordsize="61,71" path="m3263,1067l3248,1067,3248,1099,3207,1099,3207,1102,3202,1102,3202,1138,3218,1138,3218,1110,3259,1110,3259,1104,3263,1104,3263,1067e" filled="true" fillcolor="#000000" stroked="false">
              <v:path arrowok="t"/>
              <v:fill type="solid"/>
            </v:shape>
            <v:line style="position:absolute" from="3256,1070" to="3492,1070" stroked="true" strokeweight=".570pt" strokecolor="#000000">
              <v:stroke dashstyle="solid"/>
            </v:line>
            <v:rect style="position:absolute;left:3475;top:1030;width:16;height:40" filled="true" fillcolor="#000000" stroked="false">
              <v:fill type="solid"/>
            </v:rect>
            <v:line style="position:absolute" from="3481,1032" to="3672,1032" stroked="true" strokeweight=".582pt" strokecolor="#000000">
              <v:stroke dashstyle="solid"/>
            </v:line>
            <v:shape style="position:absolute;left:3656;top:939;width:73;height:96" coordorigin="3656,939" coordsize="73,96" path="m3728,939l3713,939,3713,981,3662,981,3662,985,3656,985,3656,1035,3672,1035,3672,993,3728,993,3728,987,3728,939e" filled="true" fillcolor="#000000" stroked="false">
              <v:path arrowok="t"/>
              <v:fill type="solid"/>
            </v:shape>
            <v:line style="position:absolute" from="3718,942" to="3899,942" stroked="true" strokeweight=".594pt" strokecolor="#000000">
              <v:stroke dashstyle="solid"/>
            </v:line>
            <v:shape style="position:absolute;left:3883;top:735;width:186;height:207" coordorigin="3884,735" coordsize="186,207" path="m4069,784l4069,735,4054,735,4054,784,4038,784,4023,784,4023,837,3899,837,3899,841,3894,841,3894,887,3889,887,3889,890,3884,890,3884,942,3899,942,3899,898,3909,898,3909,891,3909,887,3909,849,4033,849,4033,845,4038,845,4038,796,4069,796,4069,784e" filled="true" fillcolor="#000000" stroked="false">
              <v:path arrowok="t"/>
              <v:fill type="solid"/>
            </v:shape>
            <v:line style="position:absolute" from="4059,737" to="4276,737" stroked="true" strokeweight=".546pt" strokecolor="#000000">
              <v:stroke dashstyle="solid"/>
            </v:line>
            <v:shape style="position:absolute;left:4260;top:553;width:119;height:183" coordorigin="4260,553" coordsize="119,183" path="m4379,553l4364,553,4364,671,4266,671,4266,674,4260,674,4260,736,4276,736,4276,682,4379,682,4379,676,4379,671,4379,553e" filled="true" fillcolor="#000000" stroked="false">
              <v:path arrowok="t"/>
              <v:fill type="solid"/>
            </v:shape>
            <v:line style="position:absolute" from="4377,559" to="4565,559" stroked="true" strokeweight=".558pt" strokecolor="#000000">
              <v:stroke dashstyle="solid"/>
            </v:line>
            <v:rect style="position:absolute;left:4554;top:485;width:15;height:76" filled="true" fillcolor="#000000" stroked="false">
              <v:fill type="solid"/>
            </v:rect>
            <v:line style="position:absolute" from="4560,487" to="5167,487" stroked="true" strokeweight=".570pt" strokecolor="#000000">
              <v:stroke dashstyle="solid"/>
            </v:line>
            <v:line style="position:absolute" from="5166,285" to="5166,493" stroked="true" strokeweight=".819pt" strokecolor="#000000">
              <v:stroke dashstyle="solid"/>
            </v:line>
            <v:shape style="position:absolute;left:5169;top:171;width:88;height:126" coordorigin="5169,171" coordsize="88,126" path="m5256,171l5241,171,5241,285,5169,285,5169,296,5252,296,5252,292,5256,292,5256,171e" filled="true" fillcolor="#000000" stroked="false">
              <v:path arrowok="t"/>
              <v:fill type="solid"/>
            </v:shape>
            <v:line style="position:absolute" from="5247,173" to="5794,173" stroked="true" strokeweight=".549pt" strokecolor="#000000">
              <v:stroke dashstyle="solid"/>
            </v:line>
            <v:rect style="position:absolute;left:5793;top:171;width:6;height:8" filled="true" fillcolor="#000000" stroked="false">
              <v:fill type="solid"/>
            </v:rect>
            <w10:wrap type="none"/>
          </v:group>
        </w:pict>
      </w:r>
      <w:r>
        <w:rPr/>
        <w:pict>
          <v:shape style="position:absolute;margin-left:34.49572pt;margin-top:5.143507pt;width:10.15pt;height:114.65pt;mso-position-horizontal-relative:page;mso-position-vertical-relative:paragraph;z-index:2584" type="#_x0000_t202" filled="false" stroked="false">
            <v:textbox inset="0,0,0,0" style="layout-flow:vertical;mso-layout-flow-alt:bottom-to-top">
              <w:txbxContent>
                <w:p>
                  <w:pPr>
                    <w:spacing w:before="29"/>
                    <w:ind w:left="20" w:right="0" w:firstLine="0"/>
                    <w:jc w:val="left"/>
                    <w:rPr>
                      <w:b/>
                      <w:sz w:val="13"/>
                    </w:rPr>
                  </w:pPr>
                  <w:r>
                    <w:rPr>
                      <w:b/>
                      <w:w w:val="105"/>
                      <w:sz w:val="13"/>
                    </w:rPr>
                    <w:t>Proporción de pacientes con recidiva</w:t>
                  </w:r>
                </w:p>
              </w:txbxContent>
            </v:textbox>
            <w10:wrap type="none"/>
          </v:shape>
        </w:pict>
      </w:r>
      <w:r>
        <w:rPr/>
        <w:pict>
          <v:shape style="position:absolute;margin-left:74.730003pt;margin-top:3.820233pt;width:223pt;height:118.05pt;mso-position-horizontal-relative:page;mso-position-vertical-relative:paragraph;z-index:2632"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2"/>
                    <w:gridCol w:w="297"/>
                    <w:gridCol w:w="317"/>
                    <w:gridCol w:w="302"/>
                    <w:gridCol w:w="1931"/>
                    <w:gridCol w:w="315"/>
                    <w:gridCol w:w="320"/>
                    <w:gridCol w:w="322"/>
                    <w:gridCol w:w="327"/>
                  </w:tblGrid>
                  <w:tr>
                    <w:trPr>
                      <w:trHeight w:val="1921" w:hRule="atLeast"/>
                    </w:trPr>
                    <w:tc>
                      <w:tcPr>
                        <w:tcW w:w="4453" w:type="dxa"/>
                        <w:gridSpan w:val="9"/>
                        <w:tcBorders>
                          <w:bottom w:val="dashed" w:sz="6" w:space="0" w:color="000000"/>
                        </w:tcBorders>
                      </w:tcPr>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spacing w:before="97"/>
                          <w:ind w:left="1322"/>
                          <w:rPr>
                            <w:b/>
                            <w:sz w:val="10"/>
                          </w:rPr>
                        </w:pPr>
                        <w:r>
                          <w:rPr>
                            <w:b/>
                            <w:w w:val="106"/>
                            <w:sz w:val="10"/>
                            <w:u w:val="dotted"/>
                          </w:rPr>
                          <w:t> </w:t>
                        </w:r>
                        <w:r>
                          <w:rPr>
                            <w:b/>
                            <w:spacing w:val="10"/>
                            <w:sz w:val="10"/>
                            <w:u w:val="dotted"/>
                          </w:rPr>
                          <w:t> </w:t>
                        </w:r>
                      </w:p>
                      <w:p>
                        <w:pPr>
                          <w:pStyle w:val="TableParagraph"/>
                          <w:rPr>
                            <w:sz w:val="12"/>
                          </w:rPr>
                        </w:pPr>
                      </w:p>
                      <w:p>
                        <w:pPr>
                          <w:pStyle w:val="TableParagraph"/>
                          <w:rPr>
                            <w:sz w:val="12"/>
                          </w:rPr>
                        </w:pPr>
                      </w:p>
                      <w:p>
                        <w:pPr>
                          <w:pStyle w:val="TableParagraph"/>
                          <w:rPr>
                            <w:sz w:val="12"/>
                          </w:rPr>
                        </w:pPr>
                      </w:p>
                      <w:p>
                        <w:pPr>
                          <w:pStyle w:val="TableParagraph"/>
                          <w:spacing w:before="7"/>
                          <w:rPr>
                            <w:sz w:val="16"/>
                          </w:rPr>
                        </w:pPr>
                      </w:p>
                      <w:p>
                        <w:pPr>
                          <w:pStyle w:val="TableParagraph"/>
                          <w:tabs>
                            <w:tab w:pos="1338" w:val="left" w:leader="none"/>
                          </w:tabs>
                          <w:ind w:left="641"/>
                          <w:rPr>
                            <w:b/>
                            <w:sz w:val="10"/>
                          </w:rPr>
                        </w:pPr>
                        <w:r>
                          <w:rPr>
                            <w:b/>
                            <w:w w:val="106"/>
                            <w:sz w:val="10"/>
                            <w:u w:val="thick"/>
                          </w:rPr>
                          <w:t> </w:t>
                        </w:r>
                        <w:r>
                          <w:rPr>
                            <w:b/>
                            <w:sz w:val="10"/>
                            <w:u w:val="thick"/>
                          </w:rPr>
                          <w:t> </w:t>
                        </w:r>
                        <w:r>
                          <w:rPr>
                            <w:b/>
                            <w:sz w:val="10"/>
                          </w:rPr>
                          <w:t> </w:t>
                        </w:r>
                        <w:r>
                          <w:rPr>
                            <w:b/>
                            <w:sz w:val="10"/>
                            <w:u w:val="dotted"/>
                          </w:rPr>
                          <w:tab/>
                        </w:r>
                      </w:p>
                    </w:tc>
                  </w:tr>
                  <w:tr>
                    <w:trPr>
                      <w:trHeight w:val="415" w:hRule="atLeast"/>
                    </w:trPr>
                    <w:tc>
                      <w:tcPr>
                        <w:tcW w:w="322" w:type="dxa"/>
                        <w:tcBorders>
                          <w:top w:val="dashed" w:sz="6" w:space="0" w:color="000000"/>
                          <w:right w:val="nil"/>
                        </w:tcBorders>
                      </w:tcPr>
                      <w:p>
                        <w:pPr>
                          <w:pStyle w:val="TableParagraph"/>
                          <w:spacing w:line="67" w:lineRule="exact"/>
                          <w:ind w:left="102"/>
                          <w:jc w:val="center"/>
                          <w:rPr>
                            <w:b/>
                            <w:sz w:val="10"/>
                          </w:rPr>
                        </w:pPr>
                        <w:r>
                          <w:rPr>
                            <w:b/>
                            <w:w w:val="106"/>
                            <w:sz w:val="10"/>
                          </w:rPr>
                          <w:t> </w:t>
                        </w:r>
                        <w:r>
                          <w:rPr>
                            <w:b/>
                            <w:sz w:val="10"/>
                          </w:rPr>
                          <w:t> </w:t>
                        </w:r>
                      </w:p>
                      <w:p>
                        <w:pPr>
                          <w:pStyle w:val="TableParagraph"/>
                          <w:spacing w:before="98"/>
                          <w:ind w:left="24" w:right="76"/>
                          <w:jc w:val="center"/>
                          <w:rPr>
                            <w:b/>
                            <w:sz w:val="10"/>
                          </w:rPr>
                        </w:pPr>
                        <w:r>
                          <w:rPr>
                            <w:b/>
                            <w:w w:val="105"/>
                            <w:sz w:val="10"/>
                          </w:rPr>
                          <w:t>269</w:t>
                        </w:r>
                      </w:p>
                      <w:p>
                        <w:pPr>
                          <w:pStyle w:val="TableParagraph"/>
                          <w:spacing w:line="99" w:lineRule="exact" w:before="17"/>
                          <w:ind w:left="22" w:right="78"/>
                          <w:jc w:val="center"/>
                          <w:rPr>
                            <w:b/>
                            <w:sz w:val="10"/>
                          </w:rPr>
                        </w:pPr>
                        <w:r>
                          <w:rPr>
                            <w:b/>
                            <w:w w:val="105"/>
                            <w:sz w:val="10"/>
                          </w:rPr>
                          <w:t>134</w:t>
                        </w:r>
                      </w:p>
                    </w:tc>
                    <w:tc>
                      <w:tcPr>
                        <w:tcW w:w="297" w:type="dxa"/>
                        <w:tcBorders>
                          <w:top w:val="single" w:sz="2" w:space="0" w:color="0F0F0F"/>
                          <w:left w:val="nil"/>
                          <w:right w:val="nil"/>
                        </w:tcBorders>
                      </w:tcPr>
                      <w:p>
                        <w:pPr>
                          <w:pStyle w:val="TableParagraph"/>
                          <w:spacing w:before="4"/>
                          <w:rPr>
                            <w:sz w:val="14"/>
                          </w:rPr>
                        </w:pPr>
                      </w:p>
                      <w:p>
                        <w:pPr>
                          <w:pStyle w:val="TableParagraph"/>
                          <w:ind w:left="48"/>
                          <w:rPr>
                            <w:b/>
                            <w:sz w:val="10"/>
                          </w:rPr>
                        </w:pPr>
                        <w:r>
                          <w:rPr>
                            <w:b/>
                            <w:w w:val="105"/>
                            <w:sz w:val="10"/>
                          </w:rPr>
                          <w:t>244</w:t>
                        </w:r>
                      </w:p>
                      <w:p>
                        <w:pPr>
                          <w:pStyle w:val="TableParagraph"/>
                          <w:spacing w:line="99" w:lineRule="exact" w:before="16"/>
                          <w:ind w:left="48"/>
                          <w:rPr>
                            <w:b/>
                            <w:sz w:val="10"/>
                          </w:rPr>
                        </w:pPr>
                        <w:r>
                          <w:rPr>
                            <w:b/>
                            <w:spacing w:val="-5"/>
                            <w:w w:val="105"/>
                            <w:sz w:val="10"/>
                          </w:rPr>
                          <w:t>118</w:t>
                        </w:r>
                      </w:p>
                    </w:tc>
                    <w:tc>
                      <w:tcPr>
                        <w:tcW w:w="317" w:type="dxa"/>
                        <w:tcBorders>
                          <w:top w:val="single" w:sz="2" w:space="0" w:color="0F0F0F"/>
                          <w:left w:val="nil"/>
                          <w:right w:val="nil"/>
                        </w:tcBorders>
                      </w:tcPr>
                      <w:p>
                        <w:pPr>
                          <w:pStyle w:val="TableParagraph"/>
                          <w:spacing w:before="4"/>
                          <w:rPr>
                            <w:sz w:val="14"/>
                          </w:rPr>
                        </w:pPr>
                      </w:p>
                      <w:p>
                        <w:pPr>
                          <w:pStyle w:val="TableParagraph"/>
                          <w:ind w:left="76"/>
                          <w:rPr>
                            <w:b/>
                            <w:sz w:val="10"/>
                          </w:rPr>
                        </w:pPr>
                        <w:r>
                          <w:rPr>
                            <w:b/>
                            <w:w w:val="105"/>
                            <w:sz w:val="10"/>
                          </w:rPr>
                          <w:t>201</w:t>
                        </w:r>
                      </w:p>
                      <w:p>
                        <w:pPr>
                          <w:pStyle w:val="TableParagraph"/>
                          <w:spacing w:line="99" w:lineRule="exact" w:before="16"/>
                          <w:ind w:left="96"/>
                          <w:rPr>
                            <w:b/>
                            <w:sz w:val="10"/>
                          </w:rPr>
                        </w:pPr>
                        <w:r>
                          <w:rPr>
                            <w:b/>
                            <w:w w:val="105"/>
                            <w:sz w:val="10"/>
                          </w:rPr>
                          <w:t>85</w:t>
                        </w:r>
                      </w:p>
                    </w:tc>
                    <w:tc>
                      <w:tcPr>
                        <w:tcW w:w="302" w:type="dxa"/>
                        <w:tcBorders>
                          <w:top w:val="single" w:sz="2" w:space="0" w:color="0F0F0F"/>
                          <w:left w:val="nil"/>
                          <w:right w:val="nil"/>
                        </w:tcBorders>
                      </w:tcPr>
                      <w:p>
                        <w:pPr>
                          <w:pStyle w:val="TableParagraph"/>
                          <w:spacing w:before="4"/>
                          <w:rPr>
                            <w:sz w:val="14"/>
                          </w:rPr>
                        </w:pPr>
                      </w:p>
                      <w:p>
                        <w:pPr>
                          <w:pStyle w:val="TableParagraph"/>
                          <w:ind w:left="76"/>
                          <w:rPr>
                            <w:b/>
                            <w:sz w:val="10"/>
                          </w:rPr>
                        </w:pPr>
                        <w:r>
                          <w:rPr>
                            <w:b/>
                            <w:w w:val="105"/>
                            <w:sz w:val="10"/>
                          </w:rPr>
                          <w:t>186</w:t>
                        </w:r>
                      </w:p>
                      <w:p>
                        <w:pPr>
                          <w:pStyle w:val="TableParagraph"/>
                          <w:spacing w:line="99" w:lineRule="exact" w:before="16"/>
                          <w:ind w:left="106"/>
                          <w:rPr>
                            <w:b/>
                            <w:sz w:val="10"/>
                          </w:rPr>
                        </w:pPr>
                        <w:r>
                          <w:rPr>
                            <w:b/>
                            <w:w w:val="105"/>
                            <w:sz w:val="10"/>
                          </w:rPr>
                          <w:t>68</w:t>
                        </w:r>
                      </w:p>
                    </w:tc>
                    <w:tc>
                      <w:tcPr>
                        <w:tcW w:w="1931" w:type="dxa"/>
                        <w:tcBorders>
                          <w:top w:val="single" w:sz="2" w:space="0" w:color="0F0F0F"/>
                          <w:left w:val="nil"/>
                          <w:right w:val="nil"/>
                        </w:tcBorders>
                      </w:tcPr>
                      <w:p>
                        <w:pPr>
                          <w:pStyle w:val="TableParagraph"/>
                          <w:spacing w:before="12"/>
                          <w:ind w:left="59"/>
                          <w:rPr>
                            <w:b/>
                            <w:sz w:val="13"/>
                          </w:rPr>
                        </w:pPr>
                        <w:r>
                          <w:rPr>
                            <w:b/>
                            <w:w w:val="105"/>
                            <w:sz w:val="13"/>
                          </w:rPr>
                          <w:t>Número de sujetos en riesgo</w:t>
                        </w:r>
                      </w:p>
                      <w:p>
                        <w:pPr>
                          <w:pStyle w:val="TableParagraph"/>
                          <w:tabs>
                            <w:tab w:pos="1403" w:val="left" w:leader="none"/>
                          </w:tabs>
                          <w:spacing w:before="3"/>
                          <w:ind w:left="99"/>
                          <w:rPr>
                            <w:b/>
                            <w:sz w:val="10"/>
                          </w:rPr>
                        </w:pPr>
                        <w:r>
                          <w:rPr>
                            <w:b/>
                            <w:w w:val="105"/>
                            <w:sz w:val="10"/>
                          </w:rPr>
                          <w:t>153 130 104 </w:t>
                        </w:r>
                        <w:r>
                          <w:rPr>
                            <w:b/>
                            <w:spacing w:val="-3"/>
                            <w:w w:val="105"/>
                            <w:sz w:val="10"/>
                          </w:rPr>
                          <w:t>76</w:t>
                          <w:tab/>
                        </w:r>
                        <w:r>
                          <w:rPr>
                            <w:b/>
                            <w:w w:val="105"/>
                            <w:sz w:val="10"/>
                          </w:rPr>
                          <w:t>63 54</w:t>
                        </w:r>
                      </w:p>
                      <w:p>
                        <w:pPr>
                          <w:pStyle w:val="TableParagraph"/>
                          <w:tabs>
                            <w:tab w:pos="1077" w:val="left" w:leader="none"/>
                            <w:tab w:pos="1403" w:val="left" w:leader="none"/>
                          </w:tabs>
                          <w:spacing w:line="99" w:lineRule="exact" w:before="17"/>
                          <w:ind w:left="129"/>
                          <w:rPr>
                            <w:b/>
                            <w:sz w:val="10"/>
                          </w:rPr>
                        </w:pPr>
                        <w:r>
                          <w:rPr>
                            <w:b/>
                            <w:w w:val="105"/>
                            <w:sz w:val="10"/>
                          </w:rPr>
                          <w:t>53 45 </w:t>
                        </w:r>
                        <w:r>
                          <w:rPr>
                            <w:b/>
                            <w:w w:val="105"/>
                            <w:sz w:val="10"/>
                          </w:rPr>
                          <w:t>372722 </w:t>
                          <w:tab/>
                          <w:tab/>
                        </w:r>
                        <w:r>
                          <w:rPr>
                            <w:b/>
                            <w:spacing w:val="23"/>
                            <w:w w:val="105"/>
                            <w:sz w:val="10"/>
                          </w:rPr>
                          <w:t> 14</w:t>
                        </w:r>
                      </w:p>
                    </w:tc>
                    <w:tc>
                      <w:tcPr>
                        <w:tcW w:w="315" w:type="dxa"/>
                        <w:tcBorders>
                          <w:top w:val="single" w:sz="2" w:space="0" w:color="0F0F0F"/>
                          <w:left w:val="nil"/>
                          <w:right w:val="nil"/>
                        </w:tcBorders>
                      </w:tcPr>
                      <w:p>
                        <w:pPr>
                          <w:pStyle w:val="TableParagraph"/>
                          <w:spacing w:before="4"/>
                          <w:rPr>
                            <w:sz w:val="14"/>
                          </w:rPr>
                        </w:pPr>
                      </w:p>
                      <w:p>
                        <w:pPr>
                          <w:pStyle w:val="TableParagraph"/>
                          <w:ind w:left="100"/>
                          <w:rPr>
                            <w:b/>
                            <w:sz w:val="10"/>
                          </w:rPr>
                        </w:pPr>
                        <w:r>
                          <w:rPr>
                            <w:b/>
                            <w:w w:val="105"/>
                            <w:sz w:val="10"/>
                          </w:rPr>
                          <w:t>44</w:t>
                        </w:r>
                      </w:p>
                      <w:p>
                        <w:pPr>
                          <w:pStyle w:val="TableParagraph"/>
                          <w:spacing w:line="99" w:lineRule="exact" w:before="16"/>
                          <w:ind w:left="100"/>
                          <w:rPr>
                            <w:b/>
                            <w:sz w:val="10"/>
                          </w:rPr>
                        </w:pPr>
                        <w:r>
                          <w:rPr>
                            <w:b/>
                            <w:spacing w:val="-4"/>
                            <w:w w:val="105"/>
                            <w:sz w:val="10"/>
                          </w:rPr>
                          <w:t>12</w:t>
                        </w:r>
                      </w:p>
                    </w:tc>
                    <w:tc>
                      <w:tcPr>
                        <w:tcW w:w="320" w:type="dxa"/>
                        <w:tcBorders>
                          <w:top w:val="single" w:sz="2" w:space="0" w:color="0F0F0F"/>
                          <w:left w:val="nil"/>
                          <w:right w:val="nil"/>
                        </w:tcBorders>
                      </w:tcPr>
                      <w:p>
                        <w:pPr>
                          <w:pStyle w:val="TableParagraph"/>
                          <w:spacing w:before="4"/>
                          <w:rPr>
                            <w:sz w:val="14"/>
                          </w:rPr>
                        </w:pPr>
                      </w:p>
                      <w:p>
                        <w:pPr>
                          <w:pStyle w:val="TableParagraph"/>
                          <w:ind w:left="85" w:right="78"/>
                          <w:jc w:val="center"/>
                          <w:rPr>
                            <w:b/>
                            <w:sz w:val="10"/>
                          </w:rPr>
                        </w:pPr>
                        <w:r>
                          <w:rPr>
                            <w:b/>
                            <w:w w:val="105"/>
                            <w:sz w:val="10"/>
                          </w:rPr>
                          <w:t>36</w:t>
                        </w:r>
                      </w:p>
                      <w:p>
                        <w:pPr>
                          <w:pStyle w:val="TableParagraph"/>
                          <w:spacing w:line="99" w:lineRule="exact" w:before="16"/>
                          <w:ind w:left="15"/>
                          <w:jc w:val="center"/>
                          <w:rPr>
                            <w:b/>
                            <w:sz w:val="10"/>
                          </w:rPr>
                        </w:pPr>
                        <w:r>
                          <w:rPr>
                            <w:b/>
                            <w:w w:val="106"/>
                            <w:sz w:val="10"/>
                          </w:rPr>
                          <w:t>9</w:t>
                        </w:r>
                      </w:p>
                    </w:tc>
                    <w:tc>
                      <w:tcPr>
                        <w:tcW w:w="322" w:type="dxa"/>
                        <w:tcBorders>
                          <w:top w:val="single" w:sz="2" w:space="0" w:color="0F0F0F"/>
                          <w:left w:val="nil"/>
                          <w:right w:val="nil"/>
                        </w:tcBorders>
                      </w:tcPr>
                      <w:p>
                        <w:pPr>
                          <w:pStyle w:val="TableParagraph"/>
                          <w:spacing w:before="4"/>
                          <w:rPr>
                            <w:sz w:val="14"/>
                          </w:rPr>
                        </w:pPr>
                      </w:p>
                      <w:p>
                        <w:pPr>
                          <w:pStyle w:val="TableParagraph"/>
                          <w:ind w:left="85" w:right="79"/>
                          <w:jc w:val="center"/>
                          <w:rPr>
                            <w:b/>
                            <w:sz w:val="10"/>
                          </w:rPr>
                        </w:pPr>
                        <w:r>
                          <w:rPr>
                            <w:b/>
                            <w:w w:val="105"/>
                            <w:sz w:val="10"/>
                          </w:rPr>
                          <w:t>30</w:t>
                        </w:r>
                      </w:p>
                      <w:p>
                        <w:pPr>
                          <w:pStyle w:val="TableParagraph"/>
                          <w:spacing w:line="99" w:lineRule="exact" w:before="16"/>
                          <w:ind w:left="15"/>
                          <w:jc w:val="center"/>
                          <w:rPr>
                            <w:b/>
                            <w:sz w:val="10"/>
                          </w:rPr>
                        </w:pPr>
                        <w:r>
                          <w:rPr>
                            <w:b/>
                            <w:w w:val="106"/>
                            <w:sz w:val="10"/>
                          </w:rPr>
                          <w:t>5</w:t>
                        </w:r>
                      </w:p>
                    </w:tc>
                    <w:tc>
                      <w:tcPr>
                        <w:tcW w:w="327" w:type="dxa"/>
                        <w:tcBorders>
                          <w:top w:val="single" w:sz="2" w:space="0" w:color="0F0F0F"/>
                          <w:left w:val="nil"/>
                        </w:tcBorders>
                      </w:tcPr>
                      <w:p>
                        <w:pPr>
                          <w:pStyle w:val="TableParagraph"/>
                          <w:spacing w:before="4"/>
                          <w:rPr>
                            <w:sz w:val="14"/>
                          </w:rPr>
                        </w:pPr>
                      </w:p>
                      <w:p>
                        <w:pPr>
                          <w:pStyle w:val="TableParagraph"/>
                          <w:ind w:left="86" w:right="80"/>
                          <w:jc w:val="center"/>
                          <w:rPr>
                            <w:b/>
                            <w:sz w:val="10"/>
                          </w:rPr>
                        </w:pPr>
                        <w:r>
                          <w:rPr>
                            <w:b/>
                            <w:w w:val="105"/>
                            <w:sz w:val="10"/>
                          </w:rPr>
                          <w:t>23</w:t>
                        </w:r>
                      </w:p>
                      <w:p>
                        <w:pPr>
                          <w:pStyle w:val="TableParagraph"/>
                          <w:spacing w:line="99" w:lineRule="exact" w:before="16"/>
                          <w:ind w:left="10"/>
                          <w:jc w:val="center"/>
                          <w:rPr>
                            <w:b/>
                            <w:sz w:val="10"/>
                          </w:rPr>
                        </w:pPr>
                        <w:r>
                          <w:rPr>
                            <w:b/>
                            <w:w w:val="106"/>
                            <w:sz w:val="10"/>
                          </w:rPr>
                          <w:t>3</w:t>
                        </w:r>
                      </w:p>
                    </w:tc>
                  </w:tr>
                </w:tbl>
                <w:p>
                  <w:pPr>
                    <w:pStyle w:val="BodyText"/>
                  </w:pPr>
                </w:p>
              </w:txbxContent>
            </v:textbox>
            <w10:wrap type="none"/>
          </v:shape>
        </w:pict>
      </w:r>
      <w:r>
        <w:rPr>
          <w:b/>
          <w:w w:val="105"/>
          <w:sz w:val="10"/>
        </w:rPr>
        <w:t>80%</w:t>
      </w:r>
    </w:p>
    <w:p>
      <w:pPr>
        <w:pStyle w:val="BodyText"/>
        <w:spacing w:before="3"/>
        <w:rPr>
          <w:b/>
          <w:sz w:val="11"/>
        </w:rPr>
      </w:pPr>
    </w:p>
    <w:p>
      <w:pPr>
        <w:spacing w:before="0"/>
        <w:ind w:left="634" w:right="0" w:firstLine="0"/>
        <w:jc w:val="left"/>
        <w:rPr>
          <w:b/>
          <w:sz w:val="10"/>
        </w:rPr>
      </w:pPr>
      <w:r>
        <w:rPr>
          <w:b/>
          <w:w w:val="105"/>
          <w:sz w:val="10"/>
        </w:rPr>
        <w:t>70%</w:t>
      </w:r>
    </w:p>
    <w:p>
      <w:pPr>
        <w:pStyle w:val="BodyText"/>
        <w:spacing w:before="9"/>
        <w:rPr>
          <w:b/>
          <w:sz w:val="10"/>
        </w:rPr>
      </w:pPr>
    </w:p>
    <w:p>
      <w:pPr>
        <w:spacing w:before="0"/>
        <w:ind w:left="634" w:right="0" w:firstLine="0"/>
        <w:jc w:val="left"/>
        <w:rPr>
          <w:b/>
          <w:sz w:val="10"/>
        </w:rPr>
      </w:pPr>
      <w:r>
        <w:rPr>
          <w:b/>
          <w:w w:val="105"/>
          <w:sz w:val="10"/>
        </w:rPr>
        <w:t>60%</w:t>
      </w:r>
    </w:p>
    <w:p>
      <w:pPr>
        <w:pStyle w:val="BodyText"/>
        <w:spacing w:before="10"/>
        <w:rPr>
          <w:b/>
          <w:sz w:val="10"/>
        </w:rPr>
      </w:pPr>
    </w:p>
    <w:p>
      <w:pPr>
        <w:spacing w:before="0"/>
        <w:ind w:left="634" w:right="0" w:firstLine="0"/>
        <w:jc w:val="left"/>
        <w:rPr>
          <w:b/>
          <w:sz w:val="10"/>
        </w:rPr>
      </w:pPr>
      <w:r>
        <w:rPr>
          <w:b/>
          <w:w w:val="105"/>
          <w:sz w:val="10"/>
        </w:rPr>
        <w:t>50%</w:t>
      </w:r>
    </w:p>
    <w:p>
      <w:pPr>
        <w:pStyle w:val="BodyText"/>
        <w:spacing w:before="1"/>
        <w:rPr>
          <w:b/>
          <w:sz w:val="11"/>
        </w:rPr>
      </w:pPr>
    </w:p>
    <w:p>
      <w:pPr>
        <w:spacing w:before="0"/>
        <w:ind w:left="634" w:right="0" w:firstLine="0"/>
        <w:jc w:val="left"/>
        <w:rPr>
          <w:b/>
          <w:sz w:val="10"/>
        </w:rPr>
      </w:pPr>
      <w:r>
        <w:rPr>
          <w:b/>
          <w:w w:val="105"/>
          <w:sz w:val="10"/>
        </w:rPr>
        <w:t>40%</w:t>
      </w:r>
    </w:p>
    <w:p>
      <w:pPr>
        <w:pStyle w:val="BodyText"/>
        <w:spacing w:before="11"/>
        <w:rPr>
          <w:b/>
          <w:sz w:val="10"/>
        </w:rPr>
      </w:pPr>
    </w:p>
    <w:p>
      <w:pPr>
        <w:spacing w:before="0"/>
        <w:ind w:left="634" w:right="0" w:firstLine="0"/>
        <w:jc w:val="left"/>
        <w:rPr>
          <w:b/>
          <w:sz w:val="10"/>
        </w:rPr>
      </w:pPr>
      <w:r>
        <w:rPr/>
        <w:pict>
          <v:shape style="position:absolute;margin-left:86.020004pt;margin-top:-2.474722pt;width:55.55pt;height:40.450pt;mso-position-horizontal-relative:page;mso-position-vertical-relative:paragraph;z-index:-62536" coordorigin="1720,-49" coordsize="1111,809" path="m1819,734l1803,734,1803,745,1798,745,1798,756,1813,756,1813,753,1819,753,1819,734m1865,711l1849,711,1849,715,1844,715,1844,719,1834,719,1834,730,1855,730,1855,726,1860,726,1860,722,1865,722,1865,711m1917,692l1896,692,1896,696,1891,696,1891,700,1886,700,1886,703,1880,703,1880,711,1901,711,1901,707,1906,707,1906,703,1917,703,1917,692m1978,681l1963,681,1963,692,1953,692,1953,704,1973,704,1973,700,1978,700,1978,681m2015,651l1989,651,1989,654,1984,654,1984,669,1989,669,1989,673,1994,673,1994,669,1999,669,1999,662,2015,662,2015,651m2092,651l2051,651,2051,662,2092,662,2092,651m2139,632l2123,632,2123,636,2118,636,2118,643,2113,643,2113,654,2128,654,2128,650,2134,650,2134,643,2139,643,2139,632m2830,-49l2815,-49,2815,-23,2774,-23,2774,-19,2768,-19,2768,7,2763,7,2763,11,2758,11,2758,37,2727,37,2727,41,2722,41,2722,67,2670,67,2670,67,2655,67,2655,98,2650,98,2649,98,2634,98,2634,128,2613,128,2613,132,2608,132,2608,155,2593,155,2577,155,2577,181,2486,181,2486,181,2474,181,2474,208,2453,208,2453,211,2448,211,2448,230,2340,230,2340,234,2335,234,2335,257,2329,257,2329,257,2314,257,2314,280,2294,280,2294,283,2288,283,2288,329,2283,329,2283,332,2278,332,2278,351,2262,351,2262,351,2247,351,2247,374,2149,374,2146,374,2134,374,2134,461,2066,461,2066,465,2061,465,2061,507,1999,507,1997,507,1994,507,1992,507,1984,507,1984,548,1973,548,1973,624,1912,624,1912,628,1906,628,1906,642,1895,642,1895,643,1886,643,1886,647,1880,647,1880,666,1870,666,1870,684,1829,684,1827,684,1824,684,1824,684,1813,684,1813,704,1803,704,1803,719,1783,719,1783,723,1777,723,1777,737,1726,737,1726,742,1720,742,1720,759,1736,759,1736,749,1793,749,1793,746,1793,737,1793,730,1813,730,1813,726,1819,726,1819,715,1824,715,1824,711,1829,711,1829,696,1880,696,1880,692,1886,692,1886,677,1891,677,1891,673,1896,673,1896,654,1917,654,1917,651,1921,651,1921,635,1984,635,1984,631,1989,631,1989,560,1994,560,1994,556,1999,556,1999,518,2072,518,2072,514,2077,514,2077,472,2144,472,2144,469,2149,469,2149,386,2257,386,2257,381,2262,381,2262,363,2294,363,2294,358,2294,351,2294,340,2299,340,2299,336,2304,336,2304,291,2329,291,2329,285,2329,285,2329,268,2345,268,2345,264,2350,264,2350,242,2464,242,2464,237,2464,237,2464,219,2484,219,2484,215,2490,215,2490,193,2588,193,2588,189,2593,189,2593,166,2619,166,2619,162,2624,162,2624,139,2644,139,2644,136,2650,136,2650,109,2670,109,2670,104,2670,98,2670,79,2737,79,2737,77,2737,67,2737,49,2774,49,2774,39,2774,37,2774,18,2784,18,2784,15,2784,15,2784,-12,2830,-12,2830,-19,2830,-23,2830,-49e" filled="true" fillcolor="#000000" stroked="false">
            <v:path arrowok="t"/>
            <v:fill type="solid"/>
            <w10:wrap type="none"/>
          </v:shape>
        </w:pict>
      </w:r>
      <w:r>
        <w:rPr>
          <w:b/>
          <w:w w:val="105"/>
          <w:sz w:val="10"/>
        </w:rPr>
        <w:t>30%</w:t>
      </w:r>
    </w:p>
    <w:p>
      <w:pPr>
        <w:pStyle w:val="BodyText"/>
        <w:spacing w:before="1"/>
        <w:rPr>
          <w:b/>
          <w:sz w:val="11"/>
        </w:rPr>
      </w:pPr>
    </w:p>
    <w:p>
      <w:pPr>
        <w:spacing w:before="0"/>
        <w:ind w:left="634" w:right="0" w:firstLine="0"/>
        <w:jc w:val="left"/>
        <w:rPr>
          <w:b/>
          <w:sz w:val="10"/>
        </w:rPr>
      </w:pPr>
      <w:r>
        <w:rPr/>
        <w:pict>
          <v:group style="position:absolute;margin-left:143.050903pt;margin-top:5.63107pt;width:146.9pt;height:10.6pt;mso-position-horizontal-relative:page;mso-position-vertical-relative:paragraph;z-index:2464" coordorigin="2861,113" coordsize="2938,212">
            <v:shape style="position:absolute;left:3754;top:194;width:2004;height:2" coordorigin="3754,194" coordsize="2004,0" path="m5757,194l3754,194,5757,194xe" filled="false" stroked="true" strokeweight=".570pt" strokecolor="#000000">
              <v:path arrowok="t"/>
              <v:stroke dashstyle="dash"/>
            </v:shape>
            <v:shape style="position:absolute;left:2861;top:112;width:2938;height:212" coordorigin="2861,113" coordsize="2938,212" path="m2898,309l2867,309,2867,313,2861,313,2861,325,2877,325,2877,321,2898,321,2898,309m2954,298l2949,298,2949,294,2944,294,2944,298,2939,298,2939,309,2934,309,2934,321,2949,321,2949,317,2954,317,2954,298m3032,294l2986,294,2986,305,3032,305,3032,294m3104,287l3088,287,3088,294,3068,294,3068,305,3099,305,3099,302,3104,302,3104,287m3171,276l3125,276,3125,287,3171,287,3171,276m3249,276l3202,276,3202,287,3249,287,3249,276m3331,276l3285,276,3285,287,3331,287,3331,276m3399,271l3383,271,3383,276,3362,276,3362,287,3393,287,3393,283,3399,283,3399,271m3465,260l3419,260,3419,271,3465,271,3465,260m3543,260l3496,260,3496,271,3543,271,3543,260m3625,260l3579,260,3579,271,3620,271,3620,268,3625,268,3625,260m3672,237l3667,237,3667,234,3625,234,3625,245,3667,245,3667,241,3672,241,3672,237m3713,211l3667,211,3667,222,3713,222,3713,211m3754,188l3729,188,3729,192,3724,192,3724,207,3739,207,3739,199,3754,199,3754,188m5799,166l5783,166,5783,195,5789,195,5789,200,5794,200,5794,195,5799,195,5799,166m5799,113l5783,113,5783,142,5799,142,5799,113e" filled="true" fillcolor="#000000" stroked="false">
              <v:path arrowok="t"/>
              <v:fill type="solid"/>
            </v:shape>
            <w10:wrap type="none"/>
          </v:group>
        </w:pict>
      </w:r>
      <w:r>
        <w:rPr>
          <w:b/>
          <w:w w:val="105"/>
          <w:sz w:val="10"/>
        </w:rPr>
        <w:t>20%</w:t>
      </w:r>
    </w:p>
    <w:p>
      <w:pPr>
        <w:pStyle w:val="BodyText"/>
        <w:spacing w:before="7"/>
        <w:rPr>
          <w:b/>
          <w:sz w:val="10"/>
        </w:rPr>
      </w:pPr>
    </w:p>
    <w:p>
      <w:pPr>
        <w:spacing w:before="0"/>
        <w:ind w:left="634" w:right="0" w:firstLine="0"/>
        <w:jc w:val="left"/>
        <w:rPr>
          <w:b/>
          <w:sz w:val="10"/>
        </w:rPr>
      </w:pPr>
      <w:r>
        <w:rPr>
          <w:b/>
          <w:w w:val="105"/>
          <w:sz w:val="10"/>
        </w:rPr>
        <w:t>10%</w:t>
      </w:r>
    </w:p>
    <w:p>
      <w:pPr>
        <w:pStyle w:val="BodyText"/>
        <w:spacing w:line="20" w:lineRule="exact"/>
        <w:ind w:left="1687"/>
        <w:rPr>
          <w:sz w:val="2"/>
        </w:rPr>
      </w:pPr>
      <w:r>
        <w:rPr>
          <w:sz w:val="2"/>
        </w:rPr>
        <w:pict>
          <v:group style="width:1.85pt;height:.8pt;mso-position-horizontal-relative:char;mso-position-vertical-relative:line" coordorigin="0,0" coordsize="37,16">
            <v:shape style="position:absolute;left:0;top:0;width:37;height:16" coordorigin="0,0" coordsize="37,16" path="m36,0l5,0,5,4,0,4,0,15,16,15,16,12,31,12,31,8,36,8,36,0xe" filled="true" fillcolor="#000000" stroked="false">
              <v:path arrowok="t"/>
              <v:fill type="solid"/>
            </v:shape>
          </v:group>
        </w:pict>
      </w:r>
      <w:r>
        <w:rPr>
          <w:sz w:val="2"/>
        </w:rPr>
      </w:r>
    </w:p>
    <w:p>
      <w:pPr>
        <w:spacing w:line="261" w:lineRule="auto" w:before="108"/>
        <w:ind w:left="456" w:right="4577" w:firstLine="209"/>
        <w:jc w:val="left"/>
        <w:rPr>
          <w:b/>
          <w:sz w:val="10"/>
        </w:rPr>
      </w:pPr>
      <w:r>
        <w:rPr>
          <w:b/>
          <w:w w:val="105"/>
          <w:sz w:val="10"/>
        </w:rPr>
        <w:t>0% ABILIFY</w:t>
      </w:r>
    </w:p>
    <w:p>
      <w:pPr>
        <w:spacing w:line="96" w:lineRule="exact" w:before="0"/>
        <w:ind w:left="308" w:right="0" w:firstLine="0"/>
        <w:jc w:val="left"/>
        <w:rPr>
          <w:b/>
          <w:sz w:val="10"/>
        </w:rPr>
      </w:pPr>
      <w:r>
        <w:rPr>
          <w:b/>
          <w:w w:val="105"/>
          <w:sz w:val="10"/>
        </w:rPr>
        <w:t>Mantenim</w:t>
      </w:r>
    </w:p>
    <w:p>
      <w:pPr>
        <w:spacing w:line="95" w:lineRule="exact" w:before="2"/>
        <w:ind w:left="346" w:right="0" w:firstLine="0"/>
        <w:jc w:val="left"/>
        <w:rPr>
          <w:b/>
          <w:sz w:val="10"/>
        </w:rPr>
      </w:pPr>
      <w:r>
        <w:rPr>
          <w:b/>
          <w:w w:val="105"/>
          <w:sz w:val="10"/>
        </w:rPr>
        <w:t>PLACEBO</w:t>
      </w:r>
    </w:p>
    <w:p>
      <w:pPr>
        <w:pStyle w:val="BodyText"/>
        <w:spacing w:before="8"/>
        <w:rPr>
          <w:b/>
          <w:sz w:val="15"/>
        </w:rPr>
      </w:pPr>
      <w:r>
        <w:rPr/>
        <w:br w:type="column"/>
      </w:r>
      <w:r>
        <w:rPr>
          <w:b/>
          <w:sz w:val="15"/>
        </w:rPr>
      </w:r>
    </w:p>
    <w:p>
      <w:pPr>
        <w:pStyle w:val="ListParagraph"/>
        <w:numPr>
          <w:ilvl w:val="0"/>
          <w:numId w:val="2"/>
        </w:numPr>
        <w:tabs>
          <w:tab w:pos="500" w:val="left" w:leader="none"/>
        </w:tabs>
        <w:spacing w:line="216" w:lineRule="auto" w:before="0" w:after="0"/>
        <w:ind w:left="499" w:right="718" w:hanging="360"/>
        <w:jc w:val="both"/>
        <w:rPr>
          <w:sz w:val="16"/>
        </w:rPr>
      </w:pPr>
      <w:r>
        <w:rPr>
          <w:w w:val="95"/>
          <w:sz w:val="16"/>
        </w:rPr>
        <w:t>A 2 a 8 semanas, de etiqueta abierta, fase de estabilización aripiprazol oral (dosis objetivo de 15 mg a 30 mg una vez al día). Un total de 632 pacientes entró en esta fase. Los pacientes eran de 18 a 65 años (media 40,7 años) y el 60% eran mujeres. La media (intervalo) puntuaciones basales fueron: YMRS total, el 16.9 MADRS en total, 5,7, y CGI-BP-S en general, 3,4 (ligeramente a la mala moderadamente). Con anterioridad a la siguiente fase, se requiere estabilización. La estabilización se define como tener todo lo siguiente en una visita quincenal: estado de paciente externo, la puntuación total YMRS ≤12, la puntuación total MADRS ≤12, sin tendencias suicidas activo; con tendencias suicidas activa definida como una puntuación de 4 o más en la MADRS</w:t>
      </w:r>
      <w:r>
        <w:rPr>
          <w:sz w:val="16"/>
        </w:rPr>
        <w:t>artículo 10 o una respuesta de “sí” en la pregunta 4 o 5 en el suicidio de Columbia Gravedad Rating Scale (C-SSRS).</w:t>
      </w:r>
    </w:p>
    <w:p>
      <w:pPr>
        <w:pStyle w:val="ListParagraph"/>
        <w:numPr>
          <w:ilvl w:val="0"/>
          <w:numId w:val="2"/>
        </w:numPr>
        <w:tabs>
          <w:tab w:pos="500" w:val="left" w:leader="none"/>
        </w:tabs>
        <w:spacing w:line="216" w:lineRule="auto" w:before="23" w:after="0"/>
        <w:ind w:left="499" w:right="717" w:hanging="360"/>
        <w:jc w:val="both"/>
        <w:rPr>
          <w:sz w:val="16"/>
        </w:rPr>
      </w:pPr>
      <w:r>
        <w:rPr>
          <w:w w:val="90"/>
          <w:sz w:val="16"/>
        </w:rPr>
        <w:t>Un mínimo de 12 semanas,, fase de estabilización ABILIFY Mantenim incontrolada simple ciego (tratamiento con 400 mg de ABILIFY Mantenim dadas cada 4 semanas en conjunción con aripiprazol oral de [10 mg a 20 mg / día] para las primeras 2 semanas). Se dejó que la dosis de ABILIFY Mantenim ser disminuido a 300 mg debido a reacciones adversas. Un total de 425 pacientes entró en esta fase. La media (intervalo) puntuaciones basales fueron: YMRS total, el 5,8, MADRS total de 3,7, y CGI-BP-S en general,</w:t>
      </w:r>
    </w:p>
    <w:p>
      <w:pPr>
        <w:pStyle w:val="BodyText"/>
        <w:spacing w:line="216" w:lineRule="auto"/>
        <w:ind w:left="499" w:right="714"/>
      </w:pPr>
      <w:r>
        <w:rPr>
          <w:w w:val="90"/>
        </w:rPr>
        <w:t>2.1 (mínimamente enfermo). Con anterioridad a la siguiente fase, se requiere la estabilización (véase arriba para la definición de estabilización) durante 8 semanas consecutivas a partir de la semana 6.</w:t>
      </w:r>
    </w:p>
    <w:p>
      <w:pPr>
        <w:pStyle w:val="ListParagraph"/>
        <w:numPr>
          <w:ilvl w:val="0"/>
          <w:numId w:val="2"/>
        </w:numPr>
        <w:tabs>
          <w:tab w:pos="500" w:val="left" w:leader="none"/>
        </w:tabs>
        <w:spacing w:line="216" w:lineRule="auto" w:before="24" w:after="0"/>
        <w:ind w:left="499" w:right="717" w:hanging="360"/>
        <w:jc w:val="both"/>
        <w:rPr>
          <w:sz w:val="16"/>
        </w:rPr>
      </w:pPr>
      <w:r>
        <w:rPr>
          <w:w w:val="90"/>
          <w:sz w:val="16"/>
        </w:rPr>
        <w:t>Un estudio doble ciego, aleatorizado de fase-retiro controlado con placebo para observar la recurrencia de un episodio de estado de ánimo (se define a continuación) durante un máximo de 52 semanas. Un total de 266 pacientes fueron asignados al azar 1: 1 a la misma dosis de ABILIFY Mantenim que estaban recibiendo al final de la fase de estabilización, (400 mg o 300 mg administrados una vez cada 4 semanas) o placebo. La media (intervalo) puntuaciones basales fueron: YMRS total, el 2,8 (0 a 12), MADRS total, el 2,7 (0 a 12), y CGI-S en general,</w:t>
      </w:r>
    </w:p>
    <w:p>
      <w:pPr>
        <w:pStyle w:val="BodyText"/>
        <w:spacing w:line="216" w:lineRule="auto" w:before="3"/>
        <w:ind w:left="499" w:right="710"/>
      </w:pPr>
      <w:r>
        <w:rPr>
          <w:w w:val="95"/>
        </w:rPr>
        <w:t>1.7 (mínimamente enfermo). La dosis podría reducirse a 300 mg para la tolerabilidad y la</w:t>
      </w:r>
      <w:r>
        <w:rPr/>
        <w:t>devuelto una vez a 400 mg.</w:t>
      </w:r>
    </w:p>
    <w:p>
      <w:pPr>
        <w:pStyle w:val="BodyText"/>
        <w:spacing w:line="216" w:lineRule="auto" w:before="30"/>
        <w:ind w:left="139" w:right="718"/>
        <w:jc w:val="both"/>
      </w:pPr>
      <w:r>
        <w:rPr>
          <w:w w:val="95"/>
        </w:rPr>
        <w:t>La variable principal de eficacia fue el tiempo desde la aleatorización hasta la recurrencia de cualquier episodio afectivo. La recurrencia se define como la primera aparición de uno o más de la</w:t>
      </w:r>
      <w:r>
        <w:rPr/>
        <w:t>los siguientes criterios:</w:t>
      </w:r>
    </w:p>
    <w:p>
      <w:pPr>
        <w:pStyle w:val="ListParagraph"/>
        <w:numPr>
          <w:ilvl w:val="0"/>
          <w:numId w:val="27"/>
        </w:numPr>
        <w:tabs>
          <w:tab w:pos="500" w:val="left" w:leader="none"/>
        </w:tabs>
        <w:spacing w:line="240" w:lineRule="auto" w:before="15" w:after="0"/>
        <w:ind w:left="499" w:right="0" w:hanging="360"/>
        <w:jc w:val="both"/>
        <w:rPr>
          <w:sz w:val="16"/>
        </w:rPr>
      </w:pPr>
      <w:r>
        <w:rPr>
          <w:sz w:val="16"/>
        </w:rPr>
        <w:t>Hospitalización por cualquier episodio de estado de ánimo o</w:t>
      </w:r>
    </w:p>
    <w:p>
      <w:pPr>
        <w:pStyle w:val="ListParagraph"/>
        <w:numPr>
          <w:ilvl w:val="0"/>
          <w:numId w:val="27"/>
        </w:numPr>
        <w:tabs>
          <w:tab w:pos="500" w:val="left" w:leader="none"/>
        </w:tabs>
        <w:spacing w:line="240" w:lineRule="auto" w:before="10" w:after="0"/>
        <w:ind w:left="499" w:right="0" w:hanging="360"/>
        <w:jc w:val="both"/>
        <w:rPr>
          <w:sz w:val="16"/>
        </w:rPr>
      </w:pPr>
      <w:r>
        <w:rPr>
          <w:sz w:val="16"/>
        </w:rPr>
        <w:t>Cualquiera de los siguientes:</w:t>
      </w:r>
    </w:p>
    <w:p>
      <w:pPr>
        <w:pStyle w:val="ListParagraph"/>
        <w:numPr>
          <w:ilvl w:val="1"/>
          <w:numId w:val="27"/>
        </w:numPr>
        <w:tabs>
          <w:tab w:pos="1148" w:val="left" w:leader="none"/>
        </w:tabs>
        <w:spacing w:line="240" w:lineRule="auto" w:before="11" w:after="0"/>
        <w:ind w:left="1147" w:right="0" w:hanging="288"/>
        <w:jc w:val="left"/>
        <w:rPr>
          <w:sz w:val="16"/>
        </w:rPr>
      </w:pPr>
      <w:r>
        <w:rPr>
          <w:sz w:val="16"/>
        </w:rPr>
        <w:t>puntuación total YMRS ≥15 OR</w:t>
      </w:r>
    </w:p>
    <w:p>
      <w:pPr>
        <w:pStyle w:val="ListParagraph"/>
        <w:numPr>
          <w:ilvl w:val="1"/>
          <w:numId w:val="27"/>
        </w:numPr>
        <w:tabs>
          <w:tab w:pos="1148" w:val="left" w:leader="none"/>
        </w:tabs>
        <w:spacing w:line="240" w:lineRule="auto" w:before="11" w:after="0"/>
        <w:ind w:left="1147" w:right="0" w:hanging="288"/>
        <w:jc w:val="left"/>
        <w:rPr>
          <w:sz w:val="16"/>
        </w:rPr>
      </w:pPr>
      <w:r>
        <w:rPr>
          <w:w w:val="95"/>
          <w:sz w:val="16"/>
        </w:rPr>
        <w:t>MADRS puntuación total ≥15 OR</w:t>
      </w:r>
    </w:p>
    <w:p>
      <w:pPr>
        <w:pStyle w:val="ListParagraph"/>
        <w:numPr>
          <w:ilvl w:val="1"/>
          <w:numId w:val="27"/>
        </w:numPr>
        <w:tabs>
          <w:tab w:pos="1148" w:val="left" w:leader="none"/>
        </w:tabs>
        <w:spacing w:line="216" w:lineRule="auto" w:before="26" w:after="0"/>
        <w:ind w:left="1147" w:right="718" w:hanging="288"/>
        <w:jc w:val="left"/>
        <w:rPr>
          <w:sz w:val="16"/>
        </w:rPr>
      </w:pPr>
      <w:r>
        <w:rPr>
          <w:w w:val="95"/>
          <w:sz w:val="16"/>
        </w:rPr>
        <w:t>Impresión Clínica Global - Bipolar Version-Severidad (CGI-BP-S) </w:t>
      </w:r>
      <w:r>
        <w:rPr>
          <w:sz w:val="16"/>
        </w:rPr>
        <w:t>puntuación&gt; 4 (puntuación global) OR</w:t>
      </w:r>
    </w:p>
    <w:p>
      <w:pPr>
        <w:pStyle w:val="ListParagraph"/>
        <w:numPr>
          <w:ilvl w:val="0"/>
          <w:numId w:val="27"/>
        </w:numPr>
        <w:tabs>
          <w:tab w:pos="499" w:val="left" w:leader="none"/>
          <w:tab w:pos="500" w:val="left" w:leader="none"/>
        </w:tabs>
        <w:spacing w:line="240" w:lineRule="auto" w:before="14" w:after="0"/>
        <w:ind w:left="499" w:right="0" w:hanging="360"/>
        <w:jc w:val="left"/>
        <w:rPr>
          <w:sz w:val="16"/>
        </w:rPr>
      </w:pPr>
      <w:r>
        <w:rPr>
          <w:sz w:val="16"/>
        </w:rPr>
        <w:t>Acontecimiento adverso grave (SAE) de empeoramiento de la enfermedad (trastorno bipolar I) o</w:t>
      </w:r>
    </w:p>
    <w:p>
      <w:pPr>
        <w:pStyle w:val="ListParagraph"/>
        <w:numPr>
          <w:ilvl w:val="0"/>
          <w:numId w:val="27"/>
        </w:numPr>
        <w:tabs>
          <w:tab w:pos="500" w:val="left" w:leader="none"/>
        </w:tabs>
        <w:spacing w:line="216" w:lineRule="auto" w:before="26" w:after="0"/>
        <w:ind w:left="499" w:right="718" w:hanging="360"/>
        <w:jc w:val="both"/>
        <w:rPr>
          <w:sz w:val="16"/>
        </w:rPr>
      </w:pPr>
      <w:r>
        <w:rPr>
          <w:w w:val="95"/>
          <w:sz w:val="16"/>
        </w:rPr>
        <w:t>La interrupción debida a la falta de eficacia o interrupción debido a un efecto adverso </w:t>
      </w:r>
      <w:r>
        <w:rPr>
          <w:sz w:val="16"/>
        </w:rPr>
        <w:t>evento (AE) de empeoramiento de la enfermedad OR</w:t>
      </w:r>
    </w:p>
    <w:p>
      <w:pPr>
        <w:pStyle w:val="ListParagraph"/>
        <w:numPr>
          <w:ilvl w:val="0"/>
          <w:numId w:val="27"/>
        </w:numPr>
        <w:tabs>
          <w:tab w:pos="500" w:val="left" w:leader="none"/>
        </w:tabs>
        <w:spacing w:line="216" w:lineRule="auto" w:before="30" w:after="0"/>
        <w:ind w:left="499" w:right="718" w:hanging="360"/>
        <w:jc w:val="both"/>
        <w:rPr>
          <w:sz w:val="16"/>
        </w:rPr>
      </w:pPr>
      <w:r>
        <w:rPr>
          <w:w w:val="90"/>
          <w:sz w:val="16"/>
        </w:rPr>
        <w:t>Empeoramiento clínico con la necesidad de adición de un estabilizador del estado de ánimo, el tratamiento con antidepresivos, antipsicóticos, y / o aumentar mayor que las dosis de benzodiazepina permitidos para el tratamiento de síntomas de un estado de ánimo subyacente </w:t>
      </w:r>
      <w:r>
        <w:rPr>
          <w:sz w:val="16"/>
        </w:rPr>
        <w:t>trastorno o</w:t>
      </w:r>
    </w:p>
    <w:p>
      <w:pPr>
        <w:pStyle w:val="ListParagraph"/>
        <w:numPr>
          <w:ilvl w:val="0"/>
          <w:numId w:val="27"/>
        </w:numPr>
        <w:tabs>
          <w:tab w:pos="500" w:val="left" w:leader="none"/>
        </w:tabs>
        <w:spacing w:line="158" w:lineRule="exact" w:before="15" w:after="0"/>
        <w:ind w:left="499" w:right="0" w:hanging="360"/>
        <w:jc w:val="both"/>
        <w:rPr>
          <w:sz w:val="16"/>
        </w:rPr>
      </w:pPr>
      <w:r>
        <w:rPr>
          <w:sz w:val="16"/>
        </w:rPr>
        <w:t>las tendencias suicidas activo, que se definió como una puntuación de 4 o más en el tema MADRS</w:t>
      </w:r>
    </w:p>
    <w:p>
      <w:pPr>
        <w:spacing w:after="0" w:line="158" w:lineRule="exact"/>
        <w:jc w:val="both"/>
        <w:rPr>
          <w:sz w:val="16"/>
        </w:rPr>
        <w:sectPr>
          <w:pgSz w:w="12240" w:h="15840"/>
          <w:pgMar w:header="676" w:footer="367" w:top="860" w:bottom="640" w:left="580" w:right="0"/>
          <w:cols w:num="2" w:equalWidth="0">
            <w:col w:w="5462" w:space="58"/>
            <w:col w:w="6140"/>
          </w:cols>
        </w:sectPr>
      </w:pPr>
    </w:p>
    <w:p>
      <w:pPr>
        <w:tabs>
          <w:tab w:pos="1388" w:val="left" w:leader="none"/>
          <w:tab w:pos="1703" w:val="left" w:leader="none"/>
          <w:tab w:pos="2024" w:val="left" w:leader="none"/>
          <w:tab w:pos="2344" w:val="left" w:leader="none"/>
          <w:tab w:pos="2664" w:val="left" w:leader="none"/>
          <w:tab w:pos="2978" w:val="left" w:leader="none"/>
          <w:tab w:pos="3299" w:val="left" w:leader="none"/>
          <w:tab w:pos="3619" w:val="left" w:leader="none"/>
          <w:tab w:pos="3934" w:val="left" w:leader="none"/>
          <w:tab w:pos="4253" w:val="left" w:leader="none"/>
          <w:tab w:pos="4574" w:val="left" w:leader="none"/>
          <w:tab w:pos="4894" w:val="left" w:leader="none"/>
          <w:tab w:pos="5209" w:val="left" w:leader="none"/>
        </w:tabs>
        <w:spacing w:line="37" w:lineRule="exact"/>
        <w:ind w:left="1069" w:right="0" w:firstLine="0"/>
        <w:rPr>
          <w:sz w:val="3"/>
        </w:rPr>
      </w:pP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65pt;mso-position-horizontal-relative:char;mso-position-vertical-relative:line" coordorigin="0,0" coordsize="4,33">
            <v:line style="position:absolute" from="2,0" to="2,33"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65pt;mso-position-horizontal-relative:char;mso-position-vertical-relative:line" coordorigin="0,0" coordsize="4,33">
            <v:line style="position:absolute" from="2,0" to="2,33" stroked="true" strokeweight=".19pt" strokecolor="#000000">
              <v:stroke dashstyle="solid"/>
            </v:line>
          </v:group>
        </w:pict>
      </w:r>
      <w:r>
        <w:rPr>
          <w:position w:val="0"/>
          <w:sz w:val="3"/>
        </w:rPr>
      </w:r>
      <w:r>
        <w:rPr>
          <w:position w:val="0"/>
          <w:sz w:val="3"/>
        </w:rPr>
        <w:tab/>
      </w:r>
      <w:r>
        <w:rPr>
          <w:position w:val="0"/>
          <w:sz w:val="3"/>
        </w:rPr>
        <w:pict>
          <v:group style="width:.2pt;height:1.65pt;mso-position-horizontal-relative:char;mso-position-vertical-relative:line" coordorigin="0,0" coordsize="4,33">
            <v:line style="position:absolute" from="2,0" to="2,33" stroked="true" strokeweight=".19pt" strokecolor="#000000">
              <v:stroke dashstyle="solid"/>
            </v:line>
          </v:group>
        </w:pict>
      </w:r>
      <w:r>
        <w:rPr>
          <w:position w:val="0"/>
          <w:sz w:val="3"/>
        </w:rPr>
      </w:r>
      <w:r>
        <w:rPr>
          <w:position w:val="0"/>
          <w:sz w:val="3"/>
        </w:rPr>
        <w:tab/>
      </w:r>
      <w:r>
        <w:rPr>
          <w:position w:val="0"/>
          <w:sz w:val="3"/>
        </w:rPr>
        <w:pict>
          <v:group style="width:.2pt;height:1.7pt;mso-position-horizontal-relative:char;mso-position-vertical-relative:line" coordorigin="0,0" coordsize="4,34">
            <v:line style="position:absolute" from="2,0" to="2,33" stroked="true" strokeweight=".19pt" strokecolor="#000000">
              <v:stroke dashstyle="solid"/>
            </v:line>
          </v:group>
        </w:pict>
      </w:r>
      <w:r>
        <w:rPr>
          <w:position w:val="0"/>
          <w:sz w:val="3"/>
        </w:rPr>
      </w:r>
      <w:r>
        <w:rPr>
          <w:position w:val="0"/>
          <w:sz w:val="3"/>
        </w:rPr>
        <w:tab/>
      </w:r>
      <w:r>
        <w:rPr>
          <w:position w:val="0"/>
          <w:sz w:val="3"/>
        </w:rPr>
        <w:pict>
          <v:group style="width:.2pt;height:1.65pt;mso-position-horizontal-relative:char;mso-position-vertical-relative:line" coordorigin="0,0" coordsize="4,33">
            <v:line style="position:absolute" from="2,0" to="2,33" stroked="true" strokeweight=".19pt" strokecolor="#000000">
              <v:stroke dashstyle="solid"/>
            </v:line>
          </v:group>
        </w:pict>
      </w:r>
      <w:r>
        <w:rPr>
          <w:position w:val="0"/>
          <w:sz w:val="3"/>
        </w:rPr>
      </w:r>
      <w:r>
        <w:rPr>
          <w:position w:val="0"/>
          <w:sz w:val="3"/>
        </w:rPr>
        <w:tab/>
      </w:r>
      <w:r>
        <w:rPr>
          <w:position w:val="0"/>
          <w:sz w:val="3"/>
        </w:rPr>
        <w:pict>
          <v:group style="width:.2pt;height:1.65pt;mso-position-horizontal-relative:char;mso-position-vertical-relative:line" coordorigin="0,0" coordsize="4,33">
            <v:line style="position:absolute" from="2,0" to="2,33" stroked="true" strokeweight=".19pt" strokecolor="#000000">
              <v:stroke dashstyle="solid"/>
            </v:line>
          </v:group>
        </w:pict>
      </w:r>
      <w:r>
        <w:rPr>
          <w:position w:val="0"/>
          <w:sz w:val="3"/>
        </w:rPr>
      </w:r>
      <w:r>
        <w:rPr>
          <w:position w:val="0"/>
          <w:sz w:val="3"/>
        </w:rPr>
        <w:tab/>
      </w:r>
      <w:r>
        <w:rPr>
          <w:position w:val="0"/>
          <w:sz w:val="3"/>
        </w:rPr>
        <w:pict>
          <v:group style="width:.2pt;height:1.65pt;mso-position-horizontal-relative:char;mso-position-vertical-relative:line" coordorigin="0,0" coordsize="4,33">
            <v:line style="position:absolute" from="2,0" to="2,33" stroked="true" strokeweight=".19pt" strokecolor="#000000">
              <v:stroke dashstyle="solid"/>
            </v:line>
          </v:group>
        </w:pict>
      </w:r>
      <w:r>
        <w:rPr>
          <w:position w:val="0"/>
          <w:sz w:val="3"/>
        </w:rPr>
      </w:r>
      <w:r>
        <w:rPr>
          <w:position w:val="0"/>
          <w:sz w:val="3"/>
        </w:rPr>
        <w:tab/>
      </w:r>
      <w:r>
        <w:rPr>
          <w:position w:val="0"/>
          <w:sz w:val="3"/>
        </w:rPr>
        <w:pict>
          <v:group style="width:.2pt;height:1.65pt;mso-position-horizontal-relative:char;mso-position-vertical-relative:line" coordorigin="0,0" coordsize="4,33">
            <v:line style="position:absolute" from="2,0" to="2,32" stroked="true" strokeweight=".19pt" strokecolor="#000000">
              <v:stroke dashstyle="solid"/>
            </v:line>
          </v:group>
        </w:pict>
      </w:r>
      <w:r>
        <w:rPr>
          <w:position w:val="0"/>
          <w:sz w:val="3"/>
        </w:rPr>
      </w:r>
      <w:r>
        <w:rPr>
          <w:position w:val="0"/>
          <w:sz w:val="3"/>
        </w:rPr>
        <w:tab/>
      </w:r>
      <w:r>
        <w:rPr>
          <w:position w:val="0"/>
          <w:sz w:val="3"/>
        </w:rPr>
        <w:pict>
          <v:group style="width:.2pt;height:1.65pt;mso-position-horizontal-relative:char;mso-position-vertical-relative:line" coordorigin="0,0" coordsize="4,33">
            <v:line style="position:absolute" from="2,0" to="2,33" stroked="true" strokeweight=".19pt" strokecolor="#000000">
              <v:stroke dashstyle="solid"/>
            </v:line>
          </v:group>
        </w:pict>
      </w:r>
      <w:r>
        <w:rPr>
          <w:position w:val="0"/>
          <w:sz w:val="3"/>
        </w:rPr>
      </w:r>
      <w:r>
        <w:rPr>
          <w:position w:val="0"/>
          <w:sz w:val="3"/>
        </w:rPr>
        <w:tab/>
      </w:r>
      <w:r>
        <w:rPr>
          <w:position w:val="0"/>
          <w:sz w:val="3"/>
        </w:rPr>
        <w:pict>
          <v:group style="width:.2pt;height:1.65pt;mso-position-horizontal-relative:char;mso-position-vertical-relative:line" coordorigin="0,0" coordsize="4,33">
            <v:line style="position:absolute" from="2,0" to="2,33" stroked="true" strokeweight=".19pt" strokecolor="#000000">
              <v:stroke dashstyle="solid"/>
            </v:line>
          </v:group>
        </w:pict>
      </w:r>
      <w:r>
        <w:rPr>
          <w:position w:val="0"/>
          <w:sz w:val="3"/>
        </w:rPr>
      </w:r>
      <w:r>
        <w:rPr>
          <w:position w:val="0"/>
          <w:sz w:val="3"/>
        </w:rPr>
        <w:tab/>
      </w:r>
      <w:r>
        <w:rPr>
          <w:position w:val="0"/>
          <w:sz w:val="3"/>
        </w:rPr>
        <w:pict>
          <v:group style="width:.2pt;height:1.65pt;mso-position-horizontal-relative:char;mso-position-vertical-relative:line" coordorigin="0,0" coordsize="4,33">
            <v:line style="position:absolute" from="2,0" to="2,33" stroked="true" strokeweight=".19pt" strokecolor="#000000">
              <v:stroke dashstyle="solid"/>
            </v:line>
          </v:group>
        </w:pict>
      </w:r>
      <w:r>
        <w:rPr>
          <w:position w:val="0"/>
          <w:sz w:val="3"/>
        </w:rPr>
      </w:r>
      <w:r>
        <w:rPr>
          <w:position w:val="0"/>
          <w:sz w:val="3"/>
        </w:rPr>
        <w:tab/>
      </w:r>
      <w:r>
        <w:rPr>
          <w:position w:val="0"/>
          <w:sz w:val="3"/>
        </w:rPr>
        <w:pict>
          <v:group style="width:.2pt;height:1.65pt;mso-position-horizontal-relative:char;mso-position-vertical-relative:line" coordorigin="0,0" coordsize="4,33">
            <v:line style="position:absolute" from="2,0" to="2,33" stroked="true" strokeweight=".19pt" strokecolor="#000000">
              <v:stroke dashstyle="solid"/>
            </v:line>
          </v:group>
        </w:pict>
      </w:r>
      <w:r>
        <w:rPr>
          <w:position w:val="0"/>
          <w:sz w:val="3"/>
        </w:rPr>
      </w:r>
    </w:p>
    <w:p>
      <w:pPr>
        <w:tabs>
          <w:tab w:pos="1165" w:val="left" w:leader="none"/>
          <w:tab w:pos="1800" w:val="left" w:leader="none"/>
        </w:tabs>
        <w:spacing w:before="48"/>
        <w:ind w:left="875" w:right="0" w:firstLine="0"/>
        <w:jc w:val="center"/>
        <w:rPr>
          <w:b/>
          <w:sz w:val="10"/>
        </w:rPr>
      </w:pPr>
      <w:r>
        <w:rPr>
          <w:b/>
          <w:w w:val="105"/>
          <w:sz w:val="10"/>
        </w:rPr>
        <w:t>028 </w:t>
        <w:tab/>
      </w:r>
      <w:r>
        <w:rPr>
          <w:b/>
          <w:spacing w:val="23"/>
          <w:w w:val="105"/>
          <w:sz w:val="10"/>
        </w:rPr>
        <w:t> </w:t>
      </w:r>
      <w:r>
        <w:rPr>
          <w:b/>
          <w:w w:val="105"/>
          <w:sz w:val="10"/>
        </w:rPr>
        <w:t>5684 </w:t>
        <w:tab/>
      </w:r>
      <w:r>
        <w:rPr>
          <w:b/>
          <w:spacing w:val="-5"/>
          <w:w w:val="105"/>
          <w:sz w:val="10"/>
        </w:rPr>
        <w:t>112 </w:t>
      </w:r>
      <w:r>
        <w:rPr>
          <w:b/>
          <w:w w:val="105"/>
          <w:sz w:val="10"/>
        </w:rPr>
        <w:t>140 168 196 224 252 280 308 336 364</w:t>
      </w:r>
    </w:p>
    <w:p>
      <w:pPr>
        <w:spacing w:before="58"/>
        <w:ind w:left="839" w:right="0" w:firstLine="0"/>
        <w:jc w:val="center"/>
        <w:rPr>
          <w:b/>
          <w:sz w:val="13"/>
        </w:rPr>
      </w:pPr>
      <w:r>
        <w:rPr>
          <w:b/>
          <w:w w:val="105"/>
          <w:sz w:val="13"/>
        </w:rPr>
        <w:t>Tiempo hasta la recaída (días desde la aleatorización)</w:t>
      </w:r>
    </w:p>
    <w:p>
      <w:pPr>
        <w:spacing w:before="35"/>
        <w:ind w:left="855" w:right="0" w:firstLine="0"/>
        <w:jc w:val="center"/>
        <w:rPr>
          <w:b/>
          <w:sz w:val="10"/>
        </w:rPr>
      </w:pPr>
      <w:r>
        <w:rPr>
          <w:b/>
          <w:w w:val="106"/>
          <w:sz w:val="10"/>
          <w:u w:val="dotted" w:color="090909"/>
        </w:rPr>
        <w:t> </w:t>
      </w:r>
      <w:r>
        <w:rPr>
          <w:b/>
          <w:sz w:val="10"/>
          <w:u w:val="dotted" w:color="090909"/>
        </w:rPr>
        <w:t> </w:t>
      </w:r>
      <w:r>
        <w:rPr>
          <w:b/>
          <w:spacing w:val="4"/>
          <w:sz w:val="10"/>
        </w:rPr>
        <w:t> </w:t>
      </w:r>
      <w:r>
        <w:rPr>
          <w:b/>
          <w:w w:val="105"/>
          <w:sz w:val="10"/>
        </w:rPr>
        <w:t>ABILIFY Mantenim (n = 269) Placebo (n = 134)</w:t>
      </w:r>
    </w:p>
    <w:p>
      <w:pPr>
        <w:pStyle w:val="BodyText"/>
        <w:spacing w:before="82"/>
        <w:ind w:left="140"/>
        <w:jc w:val="both"/>
      </w:pPr>
      <w:r>
        <w:rPr>
          <w:w w:val="95"/>
          <w:position w:val="5"/>
          <w:sz w:val="9"/>
        </w:rPr>
        <w:t>1 </w:t>
      </w:r>
      <w:r>
        <w:rPr>
          <w:w w:val="95"/>
        </w:rPr>
        <w:t>Esta figura se basa en un total de 80 eventos de recaída.</w:t>
      </w:r>
    </w:p>
    <w:p>
      <w:pPr>
        <w:pStyle w:val="BodyText"/>
        <w:spacing w:line="216" w:lineRule="auto" w:before="104"/>
        <w:ind w:left="140" w:right="38"/>
        <w:jc w:val="both"/>
      </w:pPr>
      <w:r>
        <w:rPr/>
        <w:t>El punto final de eficacia secundaria clave, porcentaje de sujetos que satisfacen los criterios de recaída, fue estadística y significativamente inferior en los pacientes asignados al azar al grupo ABILIFY Mantenim (10%) que en el grupo placebo (40%).</w:t>
      </w:r>
    </w:p>
    <w:p>
      <w:pPr>
        <w:pStyle w:val="Heading3"/>
        <w:spacing w:line="182" w:lineRule="exact" w:before="26"/>
      </w:pPr>
      <w:r>
        <w:rPr>
          <w:w w:val="95"/>
        </w:rPr>
        <w:t>14.2 trastorno bipolar I - Mantenimiento monoterapia</w:t>
      </w:r>
    </w:p>
    <w:p>
      <w:pPr>
        <w:pStyle w:val="BodyText"/>
        <w:spacing w:line="216" w:lineRule="auto" w:before="13"/>
        <w:ind w:left="140" w:right="38"/>
        <w:jc w:val="both"/>
      </w:pPr>
      <w:r>
        <w:rPr>
          <w:w w:val="95"/>
        </w:rPr>
        <w:t>La eficacia de ABILIFY Mantenim para el tratamiento de mantenimiento del trastorno bipolar I se estableció en un máximo de 52 semanas, doble ciego, controlado con placebo, aleatorizado juicio retirada en pacientes adultos que estaban experimentando un episodio maníaco en el juicio </w:t>
      </w:r>
      <w:r>
        <w:rPr/>
        <w:t>entrada, cumplido con los criterios DSM-IV-TR para el trastorno bipolar I, y tenía un historial de al menos un episodio maníaco o mixto anterior con síntomas maníacos de la gravedad suficiente para requerir una de las siguientes intervenciones: hospitalización y / o tratamiento con un estabilizador del estado de ánimo , y / o tratamiento con un agente antipsicótico.</w:t>
      </w:r>
    </w:p>
    <w:p>
      <w:pPr>
        <w:pStyle w:val="BodyText"/>
        <w:spacing w:before="24"/>
        <w:ind w:left="140"/>
      </w:pPr>
      <w:r>
        <w:rPr/>
        <w:t>clasificaciones clínicas durante este ensayo incluyeron:</w:t>
      </w:r>
    </w:p>
    <w:p>
      <w:pPr>
        <w:pStyle w:val="ListParagraph"/>
        <w:numPr>
          <w:ilvl w:val="0"/>
          <w:numId w:val="2"/>
        </w:numPr>
        <w:tabs>
          <w:tab w:pos="501" w:val="left" w:leader="none"/>
        </w:tabs>
        <w:spacing w:line="216" w:lineRule="auto" w:before="25" w:after="0"/>
        <w:ind w:left="500" w:right="39" w:hanging="360"/>
        <w:jc w:val="both"/>
        <w:rPr>
          <w:sz w:val="16"/>
        </w:rPr>
      </w:pPr>
      <w:r>
        <w:rPr>
          <w:spacing w:val="-3"/>
          <w:w w:val="95"/>
          <w:sz w:val="16"/>
        </w:rPr>
        <w:t>Joven </w:t>
      </w:r>
      <w:r>
        <w:rPr>
          <w:w w:val="95"/>
          <w:sz w:val="16"/>
        </w:rPr>
        <w:t>Escala de Manía de (YMRS) -án escala de 11 ítems, Calificación-clínico utilizado para evaluar el grado de sintomatología maníaca, en un intervalo con 0 representando sin </w:t>
      </w:r>
      <w:r>
        <w:rPr>
          <w:sz w:val="16"/>
        </w:rPr>
        <w:t>síntomas, y 60 que representan los peores síntomas.</w:t>
      </w:r>
    </w:p>
    <w:p>
      <w:pPr>
        <w:pStyle w:val="ListParagraph"/>
        <w:numPr>
          <w:ilvl w:val="0"/>
          <w:numId w:val="2"/>
        </w:numPr>
        <w:tabs>
          <w:tab w:pos="501" w:val="left" w:leader="none"/>
        </w:tabs>
        <w:spacing w:line="216" w:lineRule="auto" w:before="26" w:after="0"/>
        <w:ind w:left="500" w:right="38" w:hanging="360"/>
        <w:jc w:val="both"/>
        <w:rPr>
          <w:sz w:val="16"/>
        </w:rPr>
      </w:pPr>
      <w:r>
        <w:rPr>
          <w:w w:val="90"/>
          <w:sz w:val="16"/>
        </w:rPr>
        <w:t>Montgomery-Asberg Depression Rating Scale (MADRS) - a-punto 10 clinician- escala relacionados que se utilizan para evaluar el grado de sintomatología depresiva, con </w:t>
      </w:r>
      <w:r>
        <w:rPr>
          <w:sz w:val="16"/>
        </w:rPr>
        <w:t>1 representa la ausencia de síntomas, y que representa el 60 peores síntomas.</w:t>
      </w:r>
    </w:p>
    <w:p>
      <w:pPr>
        <w:pStyle w:val="ListParagraph"/>
        <w:numPr>
          <w:ilvl w:val="0"/>
          <w:numId w:val="2"/>
        </w:numPr>
        <w:tabs>
          <w:tab w:pos="501" w:val="left" w:leader="none"/>
        </w:tabs>
        <w:spacing w:line="216" w:lineRule="auto" w:before="27" w:after="0"/>
        <w:ind w:left="500" w:right="38" w:hanging="360"/>
        <w:jc w:val="both"/>
        <w:rPr>
          <w:sz w:val="16"/>
        </w:rPr>
      </w:pPr>
      <w:r>
        <w:rPr>
          <w:w w:val="90"/>
          <w:sz w:val="16"/>
        </w:rPr>
        <w:t>Impresión Clínica Global Bipolar Version Severidad de la Enfermedad (CGI-BP-S) una escala de 1 (normal, no en todos los malos) a 7 (paciente muy gravemente enfermo), basado en el paciente de </w:t>
      </w:r>
      <w:r>
        <w:rPr>
          <w:sz w:val="16"/>
        </w:rPr>
        <w:t>la gravedad de la enfermedad la manía, la depresión y la enfermedad bipolar en general.</w:t>
      </w:r>
    </w:p>
    <w:p>
      <w:pPr>
        <w:pStyle w:val="BodyText"/>
        <w:spacing w:before="27"/>
        <w:ind w:left="140"/>
      </w:pPr>
      <w:r>
        <w:rPr/>
        <w:t>Este ensayo incluyó:</w:t>
      </w:r>
    </w:p>
    <w:p>
      <w:pPr>
        <w:pStyle w:val="ListParagraph"/>
        <w:numPr>
          <w:ilvl w:val="0"/>
          <w:numId w:val="2"/>
        </w:numPr>
        <w:tabs>
          <w:tab w:pos="501" w:val="left" w:leader="none"/>
        </w:tabs>
        <w:spacing w:line="216" w:lineRule="auto" w:before="24" w:after="0"/>
        <w:ind w:left="500" w:right="39" w:hanging="360"/>
        <w:jc w:val="both"/>
        <w:rPr>
          <w:sz w:val="16"/>
        </w:rPr>
      </w:pPr>
      <w:r>
        <w:rPr>
          <w:w w:val="95"/>
          <w:sz w:val="16"/>
        </w:rPr>
        <w:t>A 4 a 6 semanas, de etiqueta abierta, la fase de conversión oral para pacientes en tratamientos para el trastorno bipolar I distinto de aripiprazol. Un total de 466 pacientes incluidos</w:t>
      </w:r>
      <w:r>
        <w:rPr>
          <w:sz w:val="16"/>
        </w:rPr>
        <w:t>esta fase.</w:t>
      </w:r>
    </w:p>
    <w:p>
      <w:pPr>
        <w:pStyle w:val="BodyText"/>
        <w:spacing w:before="8"/>
        <w:ind w:left="500"/>
      </w:pPr>
      <w:r>
        <w:rPr/>
        <w:br w:type="column"/>
      </w:r>
      <w:r>
        <w:rPr/>
        <w:t>10 o una respuesta de “sí” en la pregunta 4 o 5 en el C-SSRS</w:t>
      </w:r>
    </w:p>
    <w:p>
      <w:pPr>
        <w:pStyle w:val="BodyText"/>
        <w:spacing w:line="216" w:lineRule="auto" w:before="26"/>
        <w:ind w:left="140" w:right="718"/>
        <w:jc w:val="both"/>
      </w:pPr>
      <w:r>
        <w:rPr>
          <w:w w:val="95"/>
        </w:rPr>
        <w:t>El análisis demostró un tiempo significativamente más largo hasta la recurrencia de cualquier episodio de estado de ánimo en los sujetos asignados al azar al grupo de ABILIFY Mantenim que en comparación con los sujetos tratados con placebo. Las curvas de Kaplan-Meier de la época de la recurrencia de cualquier episodio de estado de ánimo durante la fase de tratamiento doble ciego de aripiprazol y Mantenim</w:t>
      </w:r>
      <w:r>
        <w:rPr/>
        <w:t>grupos de placebo se muestran en la Figura 26.</w:t>
      </w:r>
    </w:p>
    <w:p>
      <w:pPr>
        <w:pStyle w:val="Heading3"/>
        <w:spacing w:line="216" w:lineRule="auto" w:before="74"/>
        <w:ind w:left="860" w:right="704" w:hanging="720"/>
        <w:rPr>
          <w:sz w:val="9"/>
        </w:rPr>
      </w:pPr>
      <w:r>
        <w:rPr>
          <w:w w:val="95"/>
        </w:rPr>
        <w:t>Figura 26: Kaplan-Meier Estimación de la tasa de recurrencia acumulativa para cualquier estado de ánimo Episodio1</w:t>
      </w:r>
    </w:p>
    <w:p>
      <w:pPr>
        <w:spacing w:before="126"/>
        <w:ind w:left="648" w:right="0" w:firstLine="0"/>
        <w:jc w:val="left"/>
        <w:rPr>
          <w:b/>
          <w:sz w:val="10"/>
        </w:rPr>
      </w:pPr>
      <w:r>
        <w:rPr/>
        <w:pict>
          <v:group style="position:absolute;margin-left:348.746887pt;margin-top:13.429143pt;width:1.45pt;height:76.25pt;mso-position-horizontal-relative:page;mso-position-vertical-relative:paragraph;z-index:2536" coordorigin="6975,269" coordsize="29,1525">
            <v:line style="position:absolute" from="6975,392" to="7004,392" stroked="true" strokeweight=".19pt" strokecolor="#000000">
              <v:stroke dashstyle="solid"/>
            </v:line>
            <v:line style="position:absolute" from="6991,270" to="7004,270" stroked="true" strokeweight=".19pt" strokecolor="#000000">
              <v:stroke dashstyle="solid"/>
            </v:line>
            <v:line style="position:absolute" from="6991,310" to="7004,310" stroked="true" strokeweight=".19pt" strokecolor="#000000">
              <v:stroke dashstyle="solid"/>
            </v:line>
            <v:line style="position:absolute" from="6991,353" to="7004,353" stroked="true" strokeweight=".19pt" strokecolor="#000000">
              <v:stroke dashstyle="solid"/>
            </v:line>
            <v:line style="position:absolute" from="6991,434" to="7004,434" stroked="true" strokeweight=".19pt" strokecolor="#000000">
              <v:stroke dashstyle="solid"/>
            </v:line>
            <v:line style="position:absolute" from="6991,477" to="7004,477" stroked="true" strokeweight=".19pt" strokecolor="#000000">
              <v:stroke dashstyle="solid"/>
            </v:line>
            <v:line style="position:absolute" from="6991,516" to="7004,516" stroked="true" strokeweight=".19pt" strokecolor="#000000">
              <v:stroke dashstyle="solid"/>
            </v:line>
            <v:line style="position:absolute" from="6975,598" to="7004,598" stroked="true" strokeweight=".19pt" strokecolor="#000000">
              <v:stroke dashstyle="solid"/>
            </v:line>
            <v:line style="position:absolute" from="6991,559" to="7004,559" stroked="true" strokeweight=".19pt" strokecolor="#000000">
              <v:stroke dashstyle="solid"/>
            </v:line>
            <v:line style="position:absolute" from="6991,640" to="7004,640" stroked="true" strokeweight=".19pt" strokecolor="#000000">
              <v:stroke dashstyle="solid"/>
            </v:line>
            <v:line style="position:absolute" from="6991,681" to="7004,681" stroked="true" strokeweight=".19pt" strokecolor="#000000">
              <v:stroke dashstyle="solid"/>
            </v:line>
            <v:line style="position:absolute" from="6991,723" to="7004,723" stroked="true" strokeweight=".19pt" strokecolor="#000000">
              <v:stroke dashstyle="solid"/>
            </v:line>
            <v:line style="position:absolute" from="6975,804" to="7004,804" stroked="true" strokeweight=".19pt" strokecolor="#000000">
              <v:stroke dashstyle="solid"/>
            </v:line>
            <v:line style="position:absolute" from="6991,843" to="7004,843" stroked="true" strokeweight=".19pt" strokecolor="#000000">
              <v:stroke dashstyle="solid"/>
            </v:line>
            <v:line style="position:absolute" from="6991,886" to="7004,886" stroked="true" strokeweight=".19pt" strokecolor="#000000">
              <v:stroke dashstyle="solid"/>
            </v:line>
            <v:line style="position:absolute" from="6991,930" to="7004,930" stroked="true" strokeweight=".19pt" strokecolor="#000000">
              <v:stroke dashstyle="solid"/>
            </v:line>
            <v:line style="position:absolute" from="6975,1012" to="7004,1012" stroked="true" strokeweight=".19pt" strokecolor="#000000">
              <v:stroke dashstyle="solid"/>
            </v:line>
            <v:line style="position:absolute" from="6991,968" to="7004,968" stroked="true" strokeweight=".19pt" strokecolor="#000000">
              <v:stroke dashstyle="solid"/>
            </v:line>
            <v:line style="position:absolute" from="6991,1051" to="7004,1051" stroked="true" strokeweight=".19pt" strokecolor="#000000">
              <v:stroke dashstyle="solid"/>
            </v:line>
            <v:line style="position:absolute" from="6991,1094" to="7004,1094" stroked="true" strokeweight=".19pt" strokecolor="#000000">
              <v:stroke dashstyle="solid"/>
            </v:line>
            <v:line style="position:absolute" from="6991,1133" to="7004,1133" stroked="true" strokeweight=".19pt" strokecolor="#000000">
              <v:stroke dashstyle="solid"/>
            </v:line>
            <v:line style="position:absolute" from="6975,1215" to="7004,1215" stroked="true" strokeweight=".19pt" strokecolor="#000000">
              <v:stroke dashstyle="solid"/>
            </v:line>
            <v:line style="position:absolute" from="6991,1175" to="7004,1175" stroked="true" strokeweight=".19pt" strokecolor="#000000">
              <v:stroke dashstyle="solid"/>
            </v:line>
            <v:line style="position:absolute" from="6991,1257" to="7004,1257" stroked="true" strokeweight=".19pt" strokecolor="#000000">
              <v:stroke dashstyle="solid"/>
            </v:line>
            <v:line style="position:absolute" from="6991,1300" to="7004,1300" stroked="true" strokeweight=".19pt" strokecolor="#000000">
              <v:stroke dashstyle="solid"/>
            </v:line>
            <v:line style="position:absolute" from="6991,1339" to="7004,1339" stroked="true" strokeweight=".19pt" strokecolor="#000000">
              <v:stroke dashstyle="solid"/>
            </v:line>
            <v:line style="position:absolute" from="6975,1422" to="7004,1422" stroked="true" strokeweight=".19pt" strokecolor="#000000">
              <v:stroke dashstyle="solid"/>
            </v:line>
            <v:line style="position:absolute" from="6991,1382" to="7004,1382" stroked="true" strokeweight=".19pt" strokecolor="#000000">
              <v:stroke dashstyle="solid"/>
            </v:line>
            <v:line style="position:absolute" from="6991,1464" to="7004,1464" stroked="true" strokeweight=".19pt" strokecolor="#000000">
              <v:stroke dashstyle="solid"/>
            </v:line>
            <v:line style="position:absolute" from="6991,1504" to="7004,1504" stroked="true" strokeweight=".19pt" strokecolor="#000000">
              <v:stroke dashstyle="solid"/>
            </v:line>
            <v:line style="position:absolute" from="6991,1546" to="7004,1546" stroked="true" strokeweight=".19pt" strokecolor="#000000">
              <v:stroke dashstyle="solid"/>
            </v:line>
            <v:line style="position:absolute" from="6975,1628" to="7004,1628" stroked="true" strokeweight=".19pt" strokecolor="#000000">
              <v:stroke dashstyle="solid"/>
            </v:line>
            <v:line style="position:absolute" from="6991,1585" to="7004,1585" stroked="true" strokeweight=".19pt" strokecolor="#000000">
              <v:stroke dashstyle="solid"/>
            </v:line>
            <v:line style="position:absolute" from="6991,1668" to="7004,1668" stroked="true" strokeweight=".19pt" strokecolor="#000000">
              <v:stroke dashstyle="solid"/>
            </v:line>
            <v:line style="position:absolute" from="6991,1709" to="7004,1709" stroked="true" strokeweight=".19pt" strokecolor="#000000">
              <v:stroke dashstyle="solid"/>
            </v:line>
            <v:line style="position:absolute" from="6991,1752" to="7004,1752" stroked="true" strokeweight=".19pt" strokecolor="#000000">
              <v:stroke dashstyle="solid"/>
            </v:line>
            <v:line style="position:absolute" from="6991,1791" to="7004,1791" stroked="true" strokeweight=".19pt" strokecolor="#000000">
              <v:stroke dashstyle="solid"/>
            </v:line>
            <v:line style="position:absolute" from="6991,763" to="7004,763" stroked="true" strokeweight=".19pt" strokecolor="#000000">
              <v:stroke dashstyle="solid"/>
            </v:line>
            <w10:wrap type="none"/>
          </v:group>
        </w:pict>
      </w:r>
      <w:r>
        <w:rPr/>
        <w:pict>
          <v:shape style="position:absolute;margin-left:310.708527pt;margin-top:4.479356pt;width:10.15pt;height:130.35pt;mso-position-horizontal-relative:page;mso-position-vertical-relative:paragraph;z-index:2608" type="#_x0000_t202" filled="false" stroked="false">
            <v:textbox inset="0,0,0,0" style="layout-flow:vertical;mso-layout-flow-alt:bottom-to-top">
              <w:txbxContent>
                <w:p>
                  <w:pPr>
                    <w:spacing w:before="29"/>
                    <w:ind w:left="20" w:right="0" w:firstLine="0"/>
                    <w:jc w:val="left"/>
                    <w:rPr>
                      <w:b/>
                      <w:sz w:val="13"/>
                    </w:rPr>
                  </w:pPr>
                  <w:r>
                    <w:rPr>
                      <w:b/>
                      <w:w w:val="105"/>
                      <w:sz w:val="13"/>
                    </w:rPr>
                    <w:t>Proporción de sujetos con recurrencia</w:t>
                  </w:r>
                </w:p>
              </w:txbxContent>
            </v:textbox>
            <w10:wrap type="none"/>
          </v:shape>
        </w:pict>
      </w:r>
      <w:r>
        <w:rPr/>
        <w:pict>
          <v:shape style="position:absolute;margin-left:350.144012pt;margin-top:9.327443pt;width:225.35pt;height:102.65pt;mso-position-horizontal-relative:page;mso-position-vertical-relative:paragraph;z-index:2656"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77"/>
                    <w:gridCol w:w="330"/>
                    <w:gridCol w:w="332"/>
                    <w:gridCol w:w="321"/>
                    <w:gridCol w:w="2001"/>
                    <w:gridCol w:w="328"/>
                    <w:gridCol w:w="331"/>
                    <w:gridCol w:w="332"/>
                    <w:gridCol w:w="247"/>
                  </w:tblGrid>
                  <w:tr>
                    <w:trPr>
                      <w:trHeight w:val="1636" w:hRule="atLeast"/>
                    </w:trPr>
                    <w:tc>
                      <w:tcPr>
                        <w:tcW w:w="4499" w:type="dxa"/>
                        <w:gridSpan w:val="9"/>
                        <w:tcBorders>
                          <w:bottom w:val="single" w:sz="6" w:space="0" w:color="000000"/>
                        </w:tcBorders>
                      </w:tcPr>
                      <w:p>
                        <w:pPr>
                          <w:pStyle w:val="TableParagraph"/>
                          <w:rPr>
                            <w:rFonts w:ascii="Times New Roman"/>
                            <w:sz w:val="14"/>
                          </w:rPr>
                        </w:pPr>
                      </w:p>
                    </w:tc>
                  </w:tr>
                  <w:tr>
                    <w:trPr>
                      <w:trHeight w:val="392" w:hRule="atLeast"/>
                    </w:trPr>
                    <w:tc>
                      <w:tcPr>
                        <w:tcW w:w="277" w:type="dxa"/>
                        <w:tcBorders>
                          <w:top w:val="single" w:sz="6" w:space="0" w:color="000000"/>
                          <w:right w:val="nil"/>
                        </w:tcBorders>
                      </w:tcPr>
                      <w:p>
                        <w:pPr>
                          <w:pStyle w:val="TableParagraph"/>
                          <w:spacing w:before="7"/>
                          <w:rPr>
                            <w:sz w:val="12"/>
                          </w:rPr>
                        </w:pPr>
                      </w:p>
                      <w:p>
                        <w:pPr>
                          <w:pStyle w:val="TableParagraph"/>
                          <w:ind w:left="27"/>
                          <w:rPr>
                            <w:b/>
                            <w:sz w:val="10"/>
                          </w:rPr>
                        </w:pPr>
                        <w:r>
                          <w:rPr>
                            <w:b/>
                            <w:w w:val="105"/>
                            <w:sz w:val="10"/>
                          </w:rPr>
                          <w:t>132</w:t>
                        </w:r>
                      </w:p>
                      <w:p>
                        <w:pPr>
                          <w:pStyle w:val="TableParagraph"/>
                          <w:spacing w:line="103" w:lineRule="exact" w:before="9"/>
                          <w:ind w:left="27"/>
                          <w:rPr>
                            <w:b/>
                            <w:sz w:val="10"/>
                          </w:rPr>
                        </w:pPr>
                        <w:r>
                          <w:rPr>
                            <w:b/>
                            <w:w w:val="105"/>
                            <w:sz w:val="10"/>
                          </w:rPr>
                          <w:t>133</w:t>
                        </w:r>
                      </w:p>
                    </w:tc>
                    <w:tc>
                      <w:tcPr>
                        <w:tcW w:w="330" w:type="dxa"/>
                        <w:tcBorders>
                          <w:top w:val="single" w:sz="6" w:space="0" w:color="000000"/>
                          <w:left w:val="nil"/>
                          <w:right w:val="nil"/>
                        </w:tcBorders>
                      </w:tcPr>
                      <w:p>
                        <w:pPr>
                          <w:pStyle w:val="TableParagraph"/>
                          <w:spacing w:before="7"/>
                          <w:rPr>
                            <w:sz w:val="12"/>
                          </w:rPr>
                        </w:pPr>
                      </w:p>
                      <w:p>
                        <w:pPr>
                          <w:pStyle w:val="TableParagraph"/>
                          <w:ind w:left="77"/>
                          <w:rPr>
                            <w:b/>
                            <w:sz w:val="10"/>
                          </w:rPr>
                        </w:pPr>
                        <w:r>
                          <w:rPr>
                            <w:b/>
                            <w:w w:val="105"/>
                            <w:sz w:val="10"/>
                          </w:rPr>
                          <w:t>125</w:t>
                        </w:r>
                      </w:p>
                      <w:p>
                        <w:pPr>
                          <w:pStyle w:val="TableParagraph"/>
                          <w:spacing w:line="103" w:lineRule="exact" w:before="9"/>
                          <w:ind w:left="77"/>
                          <w:rPr>
                            <w:b/>
                            <w:sz w:val="10"/>
                          </w:rPr>
                        </w:pPr>
                        <w:r>
                          <w:rPr>
                            <w:b/>
                            <w:w w:val="105"/>
                            <w:sz w:val="10"/>
                          </w:rPr>
                          <w:t>121</w:t>
                        </w:r>
                      </w:p>
                    </w:tc>
                    <w:tc>
                      <w:tcPr>
                        <w:tcW w:w="332" w:type="dxa"/>
                        <w:tcBorders>
                          <w:top w:val="single" w:sz="6" w:space="0" w:color="000000"/>
                          <w:left w:val="nil"/>
                          <w:right w:val="nil"/>
                        </w:tcBorders>
                      </w:tcPr>
                      <w:p>
                        <w:pPr>
                          <w:pStyle w:val="TableParagraph"/>
                          <w:spacing w:before="7"/>
                          <w:rPr>
                            <w:sz w:val="12"/>
                          </w:rPr>
                        </w:pPr>
                      </w:p>
                      <w:p>
                        <w:pPr>
                          <w:pStyle w:val="TableParagraph"/>
                          <w:ind w:left="83"/>
                          <w:rPr>
                            <w:b/>
                            <w:sz w:val="10"/>
                          </w:rPr>
                        </w:pPr>
                        <w:r>
                          <w:rPr>
                            <w:b/>
                            <w:spacing w:val="-11"/>
                            <w:w w:val="105"/>
                            <w:sz w:val="10"/>
                          </w:rPr>
                          <w:t>111</w:t>
                        </w:r>
                      </w:p>
                      <w:p>
                        <w:pPr>
                          <w:pStyle w:val="TableParagraph"/>
                          <w:spacing w:line="103" w:lineRule="exact" w:before="9"/>
                          <w:ind w:left="83"/>
                          <w:rPr>
                            <w:b/>
                            <w:sz w:val="10"/>
                          </w:rPr>
                        </w:pPr>
                        <w:r>
                          <w:rPr>
                            <w:b/>
                            <w:w w:val="105"/>
                            <w:sz w:val="10"/>
                          </w:rPr>
                          <w:t>104</w:t>
                        </w:r>
                      </w:p>
                    </w:tc>
                    <w:tc>
                      <w:tcPr>
                        <w:tcW w:w="321" w:type="dxa"/>
                        <w:tcBorders>
                          <w:top w:val="single" w:sz="6" w:space="0" w:color="000000"/>
                          <w:left w:val="nil"/>
                          <w:right w:val="nil"/>
                        </w:tcBorders>
                      </w:tcPr>
                      <w:p>
                        <w:pPr>
                          <w:pStyle w:val="TableParagraph"/>
                          <w:spacing w:before="7"/>
                          <w:rPr>
                            <w:sz w:val="12"/>
                          </w:rPr>
                        </w:pPr>
                      </w:p>
                      <w:p>
                        <w:pPr>
                          <w:pStyle w:val="TableParagraph"/>
                          <w:ind w:left="83"/>
                          <w:rPr>
                            <w:b/>
                            <w:sz w:val="10"/>
                          </w:rPr>
                        </w:pPr>
                        <w:r>
                          <w:rPr>
                            <w:b/>
                            <w:spacing w:val="-6"/>
                            <w:w w:val="105"/>
                            <w:sz w:val="10"/>
                          </w:rPr>
                          <w:t>101</w:t>
                        </w:r>
                      </w:p>
                      <w:p>
                        <w:pPr>
                          <w:pStyle w:val="TableParagraph"/>
                          <w:spacing w:line="103" w:lineRule="exact" w:before="9"/>
                          <w:ind w:left="113"/>
                          <w:rPr>
                            <w:b/>
                            <w:sz w:val="10"/>
                          </w:rPr>
                        </w:pPr>
                        <w:r>
                          <w:rPr>
                            <w:b/>
                            <w:w w:val="105"/>
                            <w:sz w:val="10"/>
                          </w:rPr>
                          <w:t>91</w:t>
                        </w:r>
                      </w:p>
                    </w:tc>
                    <w:tc>
                      <w:tcPr>
                        <w:tcW w:w="2001" w:type="dxa"/>
                        <w:tcBorders>
                          <w:top w:val="single" w:sz="6" w:space="0" w:color="000000"/>
                          <w:left w:val="nil"/>
                          <w:right w:val="nil"/>
                        </w:tcBorders>
                      </w:tcPr>
                      <w:p>
                        <w:pPr>
                          <w:pStyle w:val="TableParagraph"/>
                          <w:spacing w:line="145" w:lineRule="exact" w:before="6"/>
                          <w:ind w:left="79"/>
                          <w:rPr>
                            <w:b/>
                            <w:sz w:val="13"/>
                          </w:rPr>
                        </w:pPr>
                        <w:r>
                          <w:rPr>
                            <w:b/>
                            <w:w w:val="105"/>
                            <w:sz w:val="13"/>
                          </w:rPr>
                          <w:t>Número de sujetos en riesgo</w:t>
                        </w:r>
                      </w:p>
                      <w:p>
                        <w:pPr>
                          <w:pStyle w:val="TableParagraph"/>
                          <w:tabs>
                            <w:tab w:pos="454" w:val="left" w:leader="none"/>
                            <w:tab w:pos="783" w:val="left" w:leader="none"/>
                            <w:tab w:pos="1118" w:val="left" w:leader="none"/>
                            <w:tab w:pos="1450" w:val="left" w:leader="none"/>
                            <w:tab w:pos="1782" w:val="left" w:leader="none"/>
                          </w:tabs>
                          <w:spacing w:line="110" w:lineRule="exact"/>
                          <w:ind w:left="132"/>
                          <w:rPr>
                            <w:b/>
                            <w:sz w:val="10"/>
                          </w:rPr>
                        </w:pPr>
                        <w:r>
                          <w:rPr>
                            <w:b/>
                            <w:w w:val="105"/>
                            <w:sz w:val="10"/>
                          </w:rPr>
                          <w:t>93858480</w:t>
                          <w:tab/>
                          <w:tab/>
                          <w:tab/>
                          <w:tab/>
                        </w:r>
                        <w:r>
                          <w:rPr>
                            <w:b/>
                            <w:spacing w:val="-3"/>
                            <w:w w:val="105"/>
                            <w:sz w:val="10"/>
                          </w:rPr>
                          <w:t>76</w:t>
                          <w:tab/>
                        </w:r>
                        <w:r>
                          <w:rPr>
                            <w:b/>
                            <w:w w:val="105"/>
                            <w:sz w:val="10"/>
                          </w:rPr>
                          <w:t>72</w:t>
                        </w:r>
                      </w:p>
                      <w:p>
                        <w:pPr>
                          <w:pStyle w:val="TableParagraph"/>
                          <w:tabs>
                            <w:tab w:pos="454" w:val="left" w:leader="none"/>
                            <w:tab w:pos="783" w:val="left" w:leader="none"/>
                            <w:tab w:pos="1118" w:val="left" w:leader="none"/>
                            <w:tab w:pos="1450" w:val="left" w:leader="none"/>
                            <w:tab w:pos="1782" w:val="left" w:leader="none"/>
                          </w:tabs>
                          <w:spacing w:line="103" w:lineRule="exact" w:before="9"/>
                          <w:ind w:left="132"/>
                          <w:rPr>
                            <w:b/>
                            <w:sz w:val="10"/>
                          </w:rPr>
                        </w:pPr>
                        <w:r>
                          <w:rPr>
                            <w:b/>
                            <w:w w:val="105"/>
                            <w:sz w:val="10"/>
                          </w:rPr>
                          <w:t>847567595553</w:t>
                          <w:tab/>
                          <w:tab/>
                          <w:tab/>
                          <w:tab/>
                          <w:tab/>
                        </w:r>
                      </w:p>
                    </w:tc>
                    <w:tc>
                      <w:tcPr>
                        <w:tcW w:w="328" w:type="dxa"/>
                        <w:tcBorders>
                          <w:top w:val="single" w:sz="6" w:space="0" w:color="000000"/>
                          <w:left w:val="nil"/>
                          <w:right w:val="nil"/>
                        </w:tcBorders>
                      </w:tcPr>
                      <w:p>
                        <w:pPr>
                          <w:pStyle w:val="TableParagraph"/>
                          <w:spacing w:before="7"/>
                          <w:rPr>
                            <w:sz w:val="12"/>
                          </w:rPr>
                        </w:pPr>
                      </w:p>
                      <w:p>
                        <w:pPr>
                          <w:pStyle w:val="TableParagraph"/>
                          <w:ind w:left="107"/>
                          <w:rPr>
                            <w:b/>
                            <w:sz w:val="10"/>
                          </w:rPr>
                        </w:pPr>
                        <w:r>
                          <w:rPr>
                            <w:b/>
                            <w:w w:val="105"/>
                            <w:sz w:val="10"/>
                          </w:rPr>
                          <w:t>70</w:t>
                        </w:r>
                      </w:p>
                      <w:p>
                        <w:pPr>
                          <w:pStyle w:val="TableParagraph"/>
                          <w:spacing w:line="103" w:lineRule="exact" w:before="9"/>
                          <w:ind w:left="107"/>
                          <w:rPr>
                            <w:b/>
                            <w:sz w:val="10"/>
                          </w:rPr>
                        </w:pPr>
                        <w:r>
                          <w:rPr>
                            <w:b/>
                            <w:w w:val="105"/>
                            <w:sz w:val="10"/>
                          </w:rPr>
                          <w:t>50</w:t>
                        </w:r>
                      </w:p>
                    </w:tc>
                    <w:tc>
                      <w:tcPr>
                        <w:tcW w:w="331" w:type="dxa"/>
                        <w:tcBorders>
                          <w:top w:val="single" w:sz="6" w:space="0" w:color="000000"/>
                          <w:left w:val="nil"/>
                          <w:right w:val="nil"/>
                        </w:tcBorders>
                      </w:tcPr>
                      <w:p>
                        <w:pPr>
                          <w:pStyle w:val="TableParagraph"/>
                          <w:spacing w:before="7"/>
                          <w:rPr>
                            <w:sz w:val="12"/>
                          </w:rPr>
                        </w:pPr>
                      </w:p>
                      <w:p>
                        <w:pPr>
                          <w:pStyle w:val="TableParagraph"/>
                          <w:ind w:left="110"/>
                          <w:rPr>
                            <w:b/>
                            <w:sz w:val="10"/>
                          </w:rPr>
                        </w:pPr>
                        <w:r>
                          <w:rPr>
                            <w:b/>
                            <w:w w:val="105"/>
                            <w:sz w:val="10"/>
                          </w:rPr>
                          <w:t>69</w:t>
                        </w:r>
                      </w:p>
                      <w:p>
                        <w:pPr>
                          <w:pStyle w:val="TableParagraph"/>
                          <w:spacing w:line="103" w:lineRule="exact" w:before="9"/>
                          <w:ind w:left="110"/>
                          <w:rPr>
                            <w:b/>
                            <w:sz w:val="10"/>
                          </w:rPr>
                        </w:pPr>
                        <w:r>
                          <w:rPr>
                            <w:b/>
                            <w:w w:val="105"/>
                            <w:sz w:val="10"/>
                          </w:rPr>
                          <w:t>48</w:t>
                        </w:r>
                      </w:p>
                    </w:tc>
                    <w:tc>
                      <w:tcPr>
                        <w:tcW w:w="332" w:type="dxa"/>
                        <w:tcBorders>
                          <w:top w:val="single" w:sz="6" w:space="0" w:color="000000"/>
                          <w:left w:val="nil"/>
                          <w:right w:val="nil"/>
                        </w:tcBorders>
                      </w:tcPr>
                      <w:p>
                        <w:pPr>
                          <w:pStyle w:val="TableParagraph"/>
                          <w:spacing w:before="7"/>
                          <w:rPr>
                            <w:sz w:val="12"/>
                          </w:rPr>
                        </w:pPr>
                      </w:p>
                      <w:p>
                        <w:pPr>
                          <w:pStyle w:val="TableParagraph"/>
                          <w:ind w:left="110"/>
                          <w:rPr>
                            <w:b/>
                            <w:sz w:val="10"/>
                          </w:rPr>
                        </w:pPr>
                        <w:r>
                          <w:rPr>
                            <w:b/>
                            <w:w w:val="105"/>
                            <w:sz w:val="10"/>
                          </w:rPr>
                          <w:t>67</w:t>
                        </w:r>
                      </w:p>
                      <w:p>
                        <w:pPr>
                          <w:pStyle w:val="TableParagraph"/>
                          <w:spacing w:line="103" w:lineRule="exact" w:before="9"/>
                          <w:ind w:left="110"/>
                          <w:rPr>
                            <w:b/>
                            <w:sz w:val="10"/>
                          </w:rPr>
                        </w:pPr>
                        <w:r>
                          <w:rPr>
                            <w:b/>
                            <w:w w:val="105"/>
                            <w:sz w:val="10"/>
                          </w:rPr>
                          <w:t>43</w:t>
                        </w:r>
                      </w:p>
                    </w:tc>
                    <w:tc>
                      <w:tcPr>
                        <w:tcW w:w="247" w:type="dxa"/>
                        <w:tcBorders>
                          <w:top w:val="single" w:sz="6" w:space="0" w:color="000000"/>
                          <w:left w:val="nil"/>
                        </w:tcBorders>
                      </w:tcPr>
                      <w:p>
                        <w:pPr>
                          <w:pStyle w:val="TableParagraph"/>
                          <w:spacing w:before="7"/>
                          <w:rPr>
                            <w:sz w:val="12"/>
                          </w:rPr>
                        </w:pPr>
                      </w:p>
                      <w:p>
                        <w:pPr>
                          <w:pStyle w:val="TableParagraph"/>
                          <w:ind w:left="110"/>
                          <w:rPr>
                            <w:b/>
                            <w:sz w:val="10"/>
                          </w:rPr>
                        </w:pPr>
                        <w:r>
                          <w:rPr>
                            <w:b/>
                            <w:w w:val="105"/>
                            <w:sz w:val="10"/>
                          </w:rPr>
                          <w:t>62</w:t>
                        </w:r>
                      </w:p>
                      <w:p>
                        <w:pPr>
                          <w:pStyle w:val="TableParagraph"/>
                          <w:spacing w:line="103" w:lineRule="exact" w:before="9"/>
                          <w:ind w:left="110"/>
                          <w:rPr>
                            <w:b/>
                            <w:sz w:val="10"/>
                          </w:rPr>
                        </w:pPr>
                        <w:r>
                          <w:rPr>
                            <w:b/>
                            <w:w w:val="105"/>
                            <w:sz w:val="10"/>
                          </w:rPr>
                          <w:t>37</w:t>
                        </w:r>
                      </w:p>
                    </w:tc>
                  </w:tr>
                </w:tbl>
                <w:p>
                  <w:pPr>
                    <w:pStyle w:val="BodyText"/>
                  </w:pPr>
                </w:p>
              </w:txbxContent>
            </v:textbox>
            <w10:wrap type="none"/>
          </v:shape>
        </w:pict>
      </w:r>
      <w:r>
        <w:rPr>
          <w:b/>
          <w:w w:val="105"/>
          <w:sz w:val="10"/>
        </w:rPr>
        <w:t>80%</w:t>
      </w:r>
    </w:p>
    <w:p>
      <w:pPr>
        <w:spacing w:before="83"/>
        <w:ind w:left="654" w:right="0" w:firstLine="0"/>
        <w:jc w:val="left"/>
        <w:rPr>
          <w:b/>
          <w:sz w:val="10"/>
        </w:rPr>
      </w:pPr>
      <w:r>
        <w:rPr>
          <w:b/>
          <w:w w:val="105"/>
          <w:sz w:val="10"/>
        </w:rPr>
        <w:t>70%</w:t>
      </w:r>
    </w:p>
    <w:p>
      <w:pPr>
        <w:spacing w:before="98"/>
        <w:ind w:left="654" w:right="0" w:firstLine="0"/>
        <w:jc w:val="left"/>
        <w:rPr>
          <w:b/>
          <w:sz w:val="10"/>
        </w:rPr>
      </w:pPr>
      <w:r>
        <w:rPr>
          <w:b/>
          <w:w w:val="105"/>
          <w:sz w:val="10"/>
        </w:rPr>
        <w:t>60%</w:t>
      </w:r>
    </w:p>
    <w:p>
      <w:pPr>
        <w:spacing w:before="88"/>
        <w:ind w:left="654" w:right="0" w:firstLine="0"/>
        <w:jc w:val="left"/>
        <w:rPr>
          <w:b/>
          <w:sz w:val="10"/>
        </w:rPr>
      </w:pPr>
      <w:r>
        <w:rPr>
          <w:b/>
          <w:w w:val="105"/>
          <w:sz w:val="10"/>
        </w:rPr>
        <w:t>50%</w:t>
      </w:r>
    </w:p>
    <w:p>
      <w:pPr>
        <w:spacing w:before="92"/>
        <w:ind w:left="654" w:right="0" w:firstLine="0"/>
        <w:jc w:val="left"/>
        <w:rPr>
          <w:b/>
          <w:sz w:val="10"/>
        </w:rPr>
      </w:pPr>
      <w:r>
        <w:rPr>
          <w:b/>
          <w:w w:val="105"/>
          <w:sz w:val="10"/>
        </w:rPr>
        <w:t>40%</w:t>
      </w:r>
    </w:p>
    <w:p>
      <w:pPr>
        <w:spacing w:before="88"/>
        <w:ind w:left="654" w:right="0" w:firstLine="0"/>
        <w:jc w:val="left"/>
        <w:rPr>
          <w:b/>
          <w:sz w:val="10"/>
        </w:rPr>
      </w:pPr>
      <w:r>
        <w:rPr/>
        <w:pict>
          <v:shape style="position:absolute;margin-left:364.820007pt;margin-top:8.407194pt;width:207.4pt;height:30.5pt;mso-position-horizontal-relative:page;mso-position-vertical-relative:paragraph;z-index:2560" coordorigin="7296,168" coordsize="4148,610" path="m7328,756l7312,756,7312,767,7296,767,7296,777,7322,777,7322,773,7328,773,7328,756m7348,720l7343,720,7343,717,7318,717,7318,720,7308,720,7308,727,7312,727,7312,735,7328,735,7328,727,7343,727,7343,724,7348,724,7348,720m7395,699l7380,699,7380,703,7359,703,7359,713,7390,713,7390,709,7395,709,7395,699m7468,692l7462,692,7462,688,7416,688,7416,699,7462,699,7462,696,7468,696,7468,692m7494,653l7478,653,7478,656,7468,656,7468,660,7462,660,7462,674,7478,674,7478,667,7488,667,7488,663,7494,663,7494,653m7556,639l7509,639,7509,649,7556,649,7556,639m7634,639l7587,639,7587,649,7634,649,7634,639m7654,606l7639,606,7639,635,7654,635,7654,606m7691,574l7644,574,7644,578,7639,578,7639,585,7691,585,7691,574m7763,571l7748,571,7748,574,7727,574,7727,585,7758,585,7758,581,7763,581,7763,571m7799,546l7794,546,7794,542,7789,542,7789,546,7784,546,7784,567,7794,567,7794,564,7799,564,7799,546m7820,510l7815,510,7815,507,7810,507,7810,510,7805,510,7805,525,7799,525,7799,535,7815,535,7815,531,7820,531,7820,510m7898,507l7851,507,7851,517,7898,517,7898,507m7950,496l7945,496,7945,492,7939,492,7939,496,7934,496,7934,517,7945,517,7945,514,7950,514,7950,496m8002,478l7986,478,7986,492,7981,492,7981,503,7996,503,7996,500,8002,500,8002,478m8027,442l8002,442,8002,446,7996,446,7996,460,8012,460,8012,453,8027,453,8027,442m8079,425l8038,425,8038,428,8033,428,8033,435,8079,435,8079,425m8162,428l8157,428,8157,425,8116,425,8116,435,8157,435,8157,432,8162,432,8162,428m8214,407l8173,407,8173,417,8214,417,8214,407m8271,389l8225,389,8225,392,8220,392,8220,400,8271,400,8271,389m8318,371l8281,371,8281,375,8277,375,8277,385,8292,385,8292,382,8313,382,8313,378,8318,378,8318,371m8375,357l8370,357,8370,353,8334,353,8334,364,8370,364,8370,361,8375,361,8375,357m8432,339l8386,339,8386,350,8432,350,8432,339m8484,325l8479,325,8479,321,8473,321,8473,325,8468,325,8468,350,8479,350,8479,346,8484,346,8484,325m8530,303l8510,303,8510,307,8505,307,8505,325,8520,325,8520,314,8530,314,8530,303m8613,303l8567,303,8567,314,8613,314,8613,303m8670,293l8655,293,8655,303,8650,303,8650,314,8665,314,8665,311,8670,311,8670,293m8743,282l8702,282,8702,293,8743,293,8743,282m8826,282l8780,282,8780,293,8826,293,8826,282m8904,282l8862,282,8862,293,8904,293,8904,282m8986,282l8940,282,8940,293,8986,293,8986,282m9038,264l8992,264,8992,268,8986,268,8986,275,9038,275,9038,264m9116,264l9075,264,9075,275,9116,275,9116,264m9204,268l9199,268,9199,264,9152,264,9152,275,9199,275,9199,272,9204,272,9204,268m9251,247l9204,247,9204,257,9251,257,9251,247m9298,229l9288,229,9288,232,9282,232,9282,254,9288,254,9288,257,9293,257,9293,254,9298,254,9298,229m9376,229l9334,229,9334,239,9376,239,9376,229m9458,229l9412,229,9412,239,9458,239,9458,229m9536,229l9490,229,9490,239,9536,239,9536,229m9588,207l9547,207,9547,211,9541,211,9541,222,9557,222,9557,218,9588,218,9588,207m9640,193l9624,193,9624,218,9635,218,9635,214,9640,214,9640,193m9718,189l9671,189,9671,200,9718,200,9718,189m9801,189l9754,189,9754,200,9801,200,9801,189m9842,168l9796,168,9796,179,9842,179,9842,168m9925,168l9879,168,9879,179,9925,179,9925,168m10003,168l9956,168,9956,179,10003,179,10003,168m10086,168l10039,168,10039,179,10086,179,10086,168m10164,168l10117,168,10117,179,10164,179,10164,168m10246,168l10200,168,10200,179,10246,179,10246,168m10324,168l10278,168,10278,179,10324,179,10324,168m10407,168l10361,168,10361,179,10407,179,10407,168m10485,168l10438,168,10438,179,10485,179,10485,168m10568,168l10521,168,10521,179,10568,179,10568,168m10646,168l10599,168,10599,179,10646,179,10646,168m10729,168l10682,168,10682,179,10729,179,10729,168m10807,168l10760,168,10760,179,10807,179,10807,168m10884,168l10843,168,10843,179,10884,179,10884,168m10967,168l10920,168,10920,179,10967,179,10967,168m11045,168l11003,168,11003,179,11045,179,11045,168m11128,168l11081,168,11081,179,11128,179,11128,168m11206,168l11164,168,11164,179,11206,179,11206,168m11289,168l11242,168,11242,179,11289,179,11289,168m11366,168l11325,168,11325,179,11366,179,11366,168m11444,168l11403,168,11403,179,11444,179,11444,168e" filled="true" fillcolor="#000000" stroked="false">
            <v:path arrowok="t"/>
            <v:fill type="solid"/>
            <w10:wrap type="none"/>
          </v:shape>
        </w:pict>
      </w:r>
      <w:r>
        <w:rPr>
          <w:b/>
          <w:w w:val="105"/>
          <w:sz w:val="10"/>
        </w:rPr>
        <w:t>30%</w:t>
      </w:r>
    </w:p>
    <w:p>
      <w:pPr>
        <w:spacing w:before="95"/>
        <w:ind w:left="654" w:right="0" w:firstLine="0"/>
        <w:jc w:val="left"/>
        <w:rPr>
          <w:b/>
          <w:sz w:val="10"/>
        </w:rPr>
      </w:pPr>
      <w:r>
        <w:rPr>
          <w:b/>
          <w:w w:val="105"/>
          <w:sz w:val="10"/>
        </w:rPr>
        <w:t>20%</w:t>
      </w:r>
    </w:p>
    <w:p>
      <w:pPr>
        <w:spacing w:before="86"/>
        <w:ind w:left="654" w:right="0" w:firstLine="0"/>
        <w:jc w:val="left"/>
        <w:rPr>
          <w:b/>
          <w:sz w:val="10"/>
        </w:rPr>
      </w:pPr>
      <w:r>
        <w:rPr>
          <w:b/>
          <w:w w:val="105"/>
          <w:sz w:val="10"/>
        </w:rPr>
        <w:t>10%</w:t>
      </w:r>
    </w:p>
    <w:p>
      <w:pPr>
        <w:spacing w:before="93"/>
        <w:ind w:left="452" w:right="5259" w:firstLine="231"/>
        <w:jc w:val="left"/>
        <w:rPr>
          <w:b/>
          <w:sz w:val="10"/>
        </w:rPr>
      </w:pPr>
      <w:r>
        <w:rPr>
          <w:b/>
          <w:w w:val="110"/>
          <w:sz w:val="10"/>
        </w:rPr>
        <w:t>0% ABILIFY</w:t>
      </w:r>
    </w:p>
    <w:p>
      <w:pPr>
        <w:spacing w:line="106" w:lineRule="exact" w:before="0"/>
        <w:ind w:left="301" w:right="0" w:firstLine="0"/>
        <w:jc w:val="left"/>
        <w:rPr>
          <w:b/>
          <w:sz w:val="10"/>
        </w:rPr>
      </w:pPr>
      <w:r>
        <w:rPr>
          <w:b/>
          <w:w w:val="110"/>
          <w:sz w:val="10"/>
        </w:rPr>
        <w:t>Mantenim</w:t>
      </w:r>
    </w:p>
    <w:p>
      <w:pPr>
        <w:spacing w:before="11"/>
        <w:ind w:left="360" w:right="0" w:firstLine="0"/>
        <w:jc w:val="left"/>
        <w:rPr>
          <w:b/>
          <w:sz w:val="10"/>
        </w:rPr>
      </w:pPr>
      <w:r>
        <w:rPr>
          <w:b/>
          <w:w w:val="105"/>
          <w:sz w:val="10"/>
        </w:rPr>
        <w:t>PLACEBO</w:t>
      </w:r>
    </w:p>
    <w:p>
      <w:pPr>
        <w:tabs>
          <w:tab w:pos="1367" w:val="left" w:leader="none"/>
          <w:tab w:pos="1702" w:val="left" w:leader="none"/>
          <w:tab w:pos="2033" w:val="left" w:leader="none"/>
          <w:tab w:pos="2363" w:val="left" w:leader="none"/>
          <w:tab w:pos="2691" w:val="left" w:leader="none"/>
          <w:tab w:pos="3022" w:val="left" w:leader="none"/>
          <w:tab w:pos="3354" w:val="left" w:leader="none"/>
          <w:tab w:pos="3686" w:val="left" w:leader="none"/>
          <w:tab w:pos="4017" w:val="left" w:leader="none"/>
          <w:tab w:pos="4344" w:val="left" w:leader="none"/>
          <w:tab w:pos="4675" w:val="left" w:leader="none"/>
          <w:tab w:pos="5006" w:val="left" w:leader="none"/>
          <w:tab w:pos="5340" w:val="left" w:leader="none"/>
        </w:tabs>
        <w:spacing w:line="33" w:lineRule="exact"/>
        <w:ind w:left="1036" w:right="0" w:firstLine="0"/>
        <w:rPr>
          <w:sz w:val="3"/>
        </w:rPr>
      </w:pP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r>
        <w:rPr>
          <w:position w:val="0"/>
          <w:sz w:val="3"/>
        </w:rPr>
        <w:tab/>
      </w:r>
      <w:r>
        <w:rPr>
          <w:position w:val="0"/>
          <w:sz w:val="3"/>
        </w:rPr>
        <w:pict>
          <v:group style="width:.2pt;height:1.5pt;mso-position-horizontal-relative:char;mso-position-vertical-relative:line" coordorigin="0,0" coordsize="4,30">
            <v:line style="position:absolute" from="2,0" to="2,30" stroked="true" strokeweight=".19pt" strokecolor="#000000">
              <v:stroke dashstyle="solid"/>
            </v:line>
          </v:group>
        </w:pict>
      </w:r>
      <w:r>
        <w:rPr>
          <w:position w:val="0"/>
          <w:sz w:val="3"/>
        </w:rPr>
      </w:r>
    </w:p>
    <w:p>
      <w:pPr>
        <w:tabs>
          <w:tab w:pos="586" w:val="left" w:leader="none"/>
          <w:tab w:pos="920" w:val="left" w:leader="none"/>
          <w:tab w:pos="1251" w:val="left" w:leader="none"/>
        </w:tabs>
        <w:spacing w:before="16"/>
        <w:ind w:left="284" w:right="0" w:firstLine="0"/>
        <w:jc w:val="center"/>
        <w:rPr>
          <w:b/>
          <w:sz w:val="10"/>
        </w:rPr>
      </w:pPr>
      <w:r>
        <w:rPr>
          <w:b/>
          <w:w w:val="105"/>
          <w:sz w:val="10"/>
        </w:rPr>
        <w:t>0285684 </w:t>
        <w:tab/>
        <w:tab/>
        <w:tab/>
      </w:r>
      <w:r>
        <w:rPr>
          <w:b/>
          <w:spacing w:val="-5"/>
          <w:w w:val="105"/>
          <w:sz w:val="10"/>
        </w:rPr>
        <w:t>112 </w:t>
      </w:r>
      <w:r>
        <w:rPr>
          <w:b/>
          <w:w w:val="105"/>
          <w:sz w:val="10"/>
        </w:rPr>
        <w:t>140 168 196 224 252 280 308 336 364</w:t>
      </w:r>
    </w:p>
    <w:p>
      <w:pPr>
        <w:spacing w:before="39"/>
        <w:ind w:left="1610" w:right="0" w:firstLine="0"/>
        <w:jc w:val="left"/>
        <w:rPr>
          <w:b/>
          <w:sz w:val="13"/>
        </w:rPr>
      </w:pPr>
      <w:r>
        <w:rPr>
          <w:b/>
          <w:w w:val="105"/>
          <w:sz w:val="13"/>
        </w:rPr>
        <w:t>El tiempo de recurrencia (días desde la aleatorización)</w:t>
      </w:r>
    </w:p>
    <w:p>
      <w:pPr>
        <w:spacing w:before="43"/>
        <w:ind w:left="1558" w:right="0" w:firstLine="0"/>
        <w:jc w:val="left"/>
        <w:rPr>
          <w:b/>
          <w:sz w:val="10"/>
        </w:rPr>
      </w:pPr>
      <w:r>
        <w:rPr>
          <w:b/>
          <w:w w:val="106"/>
          <w:sz w:val="10"/>
          <w:u w:val="dotted" w:color="090909"/>
        </w:rPr>
        <w:t> </w:t>
      </w:r>
      <w:r>
        <w:rPr>
          <w:b/>
          <w:sz w:val="10"/>
          <w:u w:val="dotted" w:color="090909"/>
        </w:rPr>
        <w:t> </w:t>
      </w:r>
      <w:r>
        <w:rPr>
          <w:b/>
          <w:sz w:val="10"/>
        </w:rPr>
        <w:t> ABILIFY Mantenim (n = 132) Placebo (n = 133)</w:t>
      </w:r>
    </w:p>
    <w:p>
      <w:pPr>
        <w:pStyle w:val="BodyText"/>
        <w:spacing w:before="57"/>
        <w:ind w:left="140"/>
        <w:jc w:val="both"/>
      </w:pPr>
      <w:r>
        <w:rPr>
          <w:position w:val="5"/>
          <w:sz w:val="9"/>
        </w:rPr>
        <w:t>1 </w:t>
      </w:r>
      <w:r>
        <w:rPr/>
        <w:t>Esta cifra se basa en un total de 103 eventos de recurrencia.</w:t>
      </w:r>
    </w:p>
    <w:p>
      <w:pPr>
        <w:pStyle w:val="BodyText"/>
        <w:spacing w:before="10"/>
        <w:rPr>
          <w:sz w:val="17"/>
        </w:rPr>
      </w:pPr>
    </w:p>
    <w:p>
      <w:pPr>
        <w:pStyle w:val="BodyText"/>
        <w:spacing w:line="216" w:lineRule="auto"/>
        <w:ind w:left="140" w:right="718"/>
        <w:jc w:val="both"/>
      </w:pPr>
      <w:r>
        <w:rPr>
          <w:w w:val="90"/>
        </w:rPr>
        <w:t>El análisis por tipo de recurrencia del estado de ánimo demostró un tiempo significativamente más largo hasta la recurrencia de ambos episodios del estado de ánimo maníacos y mixtos en los sujetos tratados con aripiprazol Mantenim en comparación con los tratados con placebo. No hubo una diferencia sustancial entre los grupos de tratamiento para retrasar el tiempo hasta la recurrencia de depresión</w:t>
      </w:r>
      <w:r>
        <w:rPr/>
        <w:t>episodios del estado de ánimo.</w:t>
      </w:r>
    </w:p>
    <w:p>
      <w:pPr>
        <w:pStyle w:val="BodyText"/>
        <w:spacing w:line="216" w:lineRule="auto" w:before="40"/>
        <w:ind w:left="140" w:right="718"/>
        <w:jc w:val="both"/>
      </w:pPr>
      <w:r>
        <w:rPr/>
        <w:t>Un examen de los subgrupos no reveló ninguna evidencia clara de receptividad sobre la base de la edad, sexo o raza.</w:t>
      </w:r>
    </w:p>
    <w:p>
      <w:pPr>
        <w:spacing w:after="0" w:line="216" w:lineRule="auto"/>
        <w:jc w:val="both"/>
        <w:sectPr>
          <w:type w:val="continuous"/>
          <w:pgSz w:w="12240" w:h="15840"/>
          <w:pgMar w:top="600" w:bottom="280" w:left="580" w:right="0"/>
          <w:cols w:num="2" w:equalWidth="0">
            <w:col w:w="5461" w:space="59"/>
            <w:col w:w="6140"/>
          </w:cols>
        </w:sectPr>
      </w:pPr>
    </w:p>
    <w:p>
      <w:pPr>
        <w:pStyle w:val="Heading3"/>
        <w:numPr>
          <w:ilvl w:val="0"/>
          <w:numId w:val="28"/>
        </w:numPr>
        <w:tabs>
          <w:tab w:pos="559" w:val="left" w:leader="none"/>
          <w:tab w:pos="560" w:val="left" w:leader="none"/>
        </w:tabs>
        <w:spacing w:line="240" w:lineRule="auto" w:before="166" w:after="0"/>
        <w:ind w:left="560" w:right="0" w:hanging="420"/>
        <w:jc w:val="left"/>
      </w:pPr>
      <w:r>
        <w:rPr>
          <w:w w:val="95"/>
        </w:rPr>
        <w:t>PRESENTACIÓN / ALMACENAMIENTO Y MANIPULACIÓN</w:t>
      </w:r>
    </w:p>
    <w:p>
      <w:pPr>
        <w:pStyle w:val="ListParagraph"/>
        <w:numPr>
          <w:ilvl w:val="1"/>
          <w:numId w:val="28"/>
        </w:numPr>
        <w:tabs>
          <w:tab w:pos="560" w:val="left" w:leader="none"/>
        </w:tabs>
        <w:spacing w:line="240" w:lineRule="auto" w:before="25" w:after="0"/>
        <w:ind w:left="560" w:right="0" w:hanging="420"/>
        <w:jc w:val="left"/>
        <w:rPr>
          <w:b/>
          <w:sz w:val="16"/>
        </w:rPr>
      </w:pPr>
      <w:r>
        <w:rPr>
          <w:b/>
          <w:w w:val="95"/>
          <w:sz w:val="16"/>
        </w:rPr>
        <w:t>Cómo suministrado</w:t>
      </w:r>
    </w:p>
    <w:p>
      <w:pPr>
        <w:spacing w:line="182" w:lineRule="exact" w:before="24"/>
        <w:ind w:left="140" w:right="0" w:firstLine="0"/>
        <w:jc w:val="left"/>
        <w:rPr>
          <w:b/>
          <w:sz w:val="16"/>
        </w:rPr>
      </w:pPr>
      <w:r>
        <w:rPr>
          <w:b/>
          <w:w w:val="95"/>
          <w:sz w:val="16"/>
        </w:rPr>
        <w:t>Precargada de doble cámara de la jeringa:</w:t>
      </w:r>
    </w:p>
    <w:p>
      <w:pPr>
        <w:pStyle w:val="BodyText"/>
        <w:spacing w:line="216" w:lineRule="auto" w:before="12"/>
        <w:ind w:left="140" w:right="39"/>
        <w:jc w:val="both"/>
      </w:pPr>
      <w:r>
        <w:rPr>
          <w:w w:val="95"/>
        </w:rPr>
        <w:t>ABILIFY Mantenim (aripiprazol) jeringa de doble cámara precargada para suspensión de liberación inyectable extended- en jeringas de un solo uso está disponible en 300-mg o jeringas de fuerza 400 mg. La jeringa de doble cámara precargada consta de una cámara delantera que contiene el polvo liofilizado de monohidrato de aripiprazol y una parte trasera</w:t>
      </w:r>
      <w:r>
        <w:rPr/>
        <w:t>cámara que contiene agua estéril para inyección.</w:t>
      </w:r>
    </w:p>
    <w:p>
      <w:pPr>
        <w:pStyle w:val="BodyText"/>
        <w:spacing w:line="182" w:lineRule="exact" w:before="26"/>
        <w:ind w:left="140"/>
      </w:pPr>
      <w:r>
        <w:rPr/>
        <w:t>El kit 300-mg incluye (NDC 59148-045-80):</w:t>
      </w:r>
    </w:p>
    <w:p>
      <w:pPr>
        <w:pStyle w:val="ListParagraph"/>
        <w:numPr>
          <w:ilvl w:val="2"/>
          <w:numId w:val="28"/>
        </w:numPr>
        <w:tabs>
          <w:tab w:pos="860" w:val="left" w:leader="none"/>
        </w:tabs>
        <w:spacing w:line="216" w:lineRule="auto" w:before="12" w:after="0"/>
        <w:ind w:left="860" w:right="39" w:hanging="420"/>
        <w:jc w:val="both"/>
        <w:rPr>
          <w:sz w:val="16"/>
        </w:rPr>
      </w:pPr>
      <w:r>
        <w:rPr>
          <w:sz w:val="16"/>
        </w:rPr>
        <w:t>300-mg, de dosis única, pre-llenado, la jeringa de doble cámara que contiene ABILIFY Mantenim (aripiprazol) para liberación prolongada polvo liofilizado suspensión inyectable y agua estéril para inyección</w:t>
      </w:r>
    </w:p>
    <w:p>
      <w:pPr>
        <w:pStyle w:val="ListParagraph"/>
        <w:numPr>
          <w:ilvl w:val="2"/>
          <w:numId w:val="28"/>
        </w:numPr>
        <w:tabs>
          <w:tab w:pos="860" w:val="left" w:leader="none"/>
        </w:tabs>
        <w:spacing w:line="216" w:lineRule="auto" w:before="13" w:after="0"/>
        <w:ind w:left="860" w:right="39" w:hanging="420"/>
        <w:jc w:val="both"/>
        <w:rPr>
          <w:sz w:val="16"/>
        </w:rPr>
      </w:pPr>
      <w:r>
        <w:rPr>
          <w:w w:val="95"/>
          <w:sz w:val="16"/>
        </w:rPr>
        <w:t>Uno de calibre 23, de 1 pulgada (25 mm) de aguja de seguridad hipodérmica con la aguja </w:t>
      </w:r>
      <w:r>
        <w:rPr>
          <w:sz w:val="16"/>
        </w:rPr>
        <w:t>Dispositivo de protección para la administración deltoides en los pacientes no obesos</w:t>
      </w:r>
    </w:p>
    <w:p>
      <w:pPr>
        <w:pStyle w:val="ListParagraph"/>
        <w:numPr>
          <w:ilvl w:val="2"/>
          <w:numId w:val="28"/>
        </w:numPr>
        <w:tabs>
          <w:tab w:pos="860" w:val="left" w:leader="none"/>
        </w:tabs>
        <w:spacing w:line="216" w:lineRule="auto" w:before="13" w:after="0"/>
        <w:ind w:left="860" w:right="39" w:hanging="420"/>
        <w:jc w:val="both"/>
        <w:rPr>
          <w:sz w:val="16"/>
        </w:rPr>
      </w:pPr>
      <w:r>
        <w:rPr>
          <w:w w:val="95"/>
          <w:sz w:val="16"/>
        </w:rPr>
        <w:t>Uno de calibre 22, de 1,5 pulgadas (38 mm) de aguja de seguridad hipodérmica con un dispositivo de protección de la aguja para la administración de los glúteos en los pacientes no obesos o </w:t>
      </w:r>
      <w:r>
        <w:rPr>
          <w:sz w:val="16"/>
        </w:rPr>
        <w:t>administración deltoides en los pacientes obesos</w:t>
      </w:r>
    </w:p>
    <w:p>
      <w:pPr>
        <w:pStyle w:val="ListParagraph"/>
        <w:numPr>
          <w:ilvl w:val="2"/>
          <w:numId w:val="28"/>
        </w:numPr>
        <w:tabs>
          <w:tab w:pos="860" w:val="left" w:leader="none"/>
        </w:tabs>
        <w:spacing w:line="216" w:lineRule="auto" w:before="12" w:after="0"/>
        <w:ind w:left="860" w:right="39" w:hanging="420"/>
        <w:jc w:val="both"/>
        <w:rPr>
          <w:sz w:val="16"/>
        </w:rPr>
      </w:pPr>
      <w:r>
        <w:rPr>
          <w:w w:val="95"/>
          <w:sz w:val="16"/>
        </w:rPr>
        <w:t>Uno de calibre 21, de 2 pulgadas (51 mm) de aguja de seguridad hipodérmica con la aguja </w:t>
      </w:r>
      <w:r>
        <w:rPr>
          <w:sz w:val="16"/>
        </w:rPr>
        <w:t>Dispositivo de protección para la administración glútea en pacientes obesos</w:t>
      </w:r>
    </w:p>
    <w:p>
      <w:pPr>
        <w:pStyle w:val="BodyText"/>
        <w:spacing w:line="182" w:lineRule="exact" w:before="27"/>
        <w:ind w:left="140"/>
      </w:pPr>
      <w:r>
        <w:rPr/>
        <w:t>El kit 400-mg incluye (NDC 59148-072-80):</w:t>
      </w:r>
    </w:p>
    <w:p>
      <w:pPr>
        <w:pStyle w:val="ListParagraph"/>
        <w:numPr>
          <w:ilvl w:val="2"/>
          <w:numId w:val="28"/>
        </w:numPr>
        <w:tabs>
          <w:tab w:pos="860" w:val="left" w:leader="none"/>
        </w:tabs>
        <w:spacing w:line="216" w:lineRule="auto" w:before="13" w:after="0"/>
        <w:ind w:left="860" w:right="39" w:hanging="420"/>
        <w:jc w:val="both"/>
        <w:rPr>
          <w:sz w:val="16"/>
        </w:rPr>
      </w:pPr>
      <w:r>
        <w:rPr>
          <w:sz w:val="16"/>
        </w:rPr>
        <w:t>400-mg, de dosis única, pre-llenado, la jeringa de doble cámara que contiene ABILIFY Mantenim (aripiprazol) para liberación prolongada polvo liofilizado suspensión inyectable y agua estéril para inyección</w:t>
      </w:r>
    </w:p>
    <w:p>
      <w:pPr>
        <w:pStyle w:val="ListParagraph"/>
        <w:numPr>
          <w:ilvl w:val="2"/>
          <w:numId w:val="28"/>
        </w:numPr>
        <w:tabs>
          <w:tab w:pos="860" w:val="left" w:leader="none"/>
        </w:tabs>
        <w:spacing w:line="216" w:lineRule="auto" w:before="13" w:after="0"/>
        <w:ind w:left="860" w:right="39" w:hanging="420"/>
        <w:jc w:val="both"/>
        <w:rPr>
          <w:sz w:val="16"/>
        </w:rPr>
      </w:pPr>
      <w:r>
        <w:rPr>
          <w:w w:val="95"/>
          <w:sz w:val="16"/>
        </w:rPr>
        <w:t>Uno de calibre 23, de 1 pulgada (25 mm) de aguja de seguridad hipodérmica con la aguja </w:t>
      </w:r>
      <w:r>
        <w:rPr>
          <w:sz w:val="16"/>
        </w:rPr>
        <w:t>Dispositivo de protección para la administración deltoides en los pacientes no obesos</w:t>
      </w:r>
    </w:p>
    <w:p>
      <w:pPr>
        <w:pStyle w:val="ListParagraph"/>
        <w:numPr>
          <w:ilvl w:val="2"/>
          <w:numId w:val="28"/>
        </w:numPr>
        <w:tabs>
          <w:tab w:pos="860" w:val="left" w:leader="none"/>
        </w:tabs>
        <w:spacing w:line="216" w:lineRule="auto" w:before="13" w:after="0"/>
        <w:ind w:left="860" w:right="39" w:hanging="420"/>
        <w:jc w:val="both"/>
        <w:rPr>
          <w:sz w:val="16"/>
        </w:rPr>
      </w:pPr>
      <w:r>
        <w:rPr>
          <w:w w:val="95"/>
          <w:sz w:val="16"/>
        </w:rPr>
        <w:t>Uno de calibre 22, de 1,5 pulgadas (38 mm) de aguja de seguridad hipodérmica con un dispositivo de protección de la aguja para la administración de los glúteos en los pacientes no obesos o </w:t>
      </w:r>
      <w:r>
        <w:rPr>
          <w:sz w:val="16"/>
        </w:rPr>
        <w:t>administración deltoides en los pacientes obesos</w:t>
      </w:r>
    </w:p>
    <w:p>
      <w:pPr>
        <w:pStyle w:val="ListParagraph"/>
        <w:numPr>
          <w:ilvl w:val="2"/>
          <w:numId w:val="28"/>
        </w:numPr>
        <w:tabs>
          <w:tab w:pos="860" w:val="left" w:leader="none"/>
        </w:tabs>
        <w:spacing w:line="216" w:lineRule="auto" w:before="12" w:after="0"/>
        <w:ind w:left="860" w:right="39" w:hanging="420"/>
        <w:jc w:val="both"/>
        <w:rPr>
          <w:sz w:val="16"/>
        </w:rPr>
      </w:pPr>
      <w:r>
        <w:rPr>
          <w:w w:val="95"/>
          <w:sz w:val="16"/>
        </w:rPr>
        <w:t>Uno de calibre 21, de 2 pulgadas (51 mm) de aguja de seguridad hipodérmica con la aguja </w:t>
      </w:r>
      <w:r>
        <w:rPr>
          <w:sz w:val="16"/>
        </w:rPr>
        <w:t>Dispositivo de protección para la administración glútea en pacientes obesos</w:t>
      </w:r>
    </w:p>
    <w:p>
      <w:pPr>
        <w:pStyle w:val="Heading3"/>
        <w:spacing w:line="182" w:lineRule="exact" w:before="27"/>
      </w:pPr>
      <w:r>
        <w:rPr/>
        <w:t>De un solo uso Vial:</w:t>
      </w:r>
    </w:p>
    <w:p>
      <w:pPr>
        <w:pStyle w:val="BodyText"/>
        <w:spacing w:line="216" w:lineRule="auto" w:before="13"/>
        <w:ind w:left="140" w:right="38"/>
      </w:pPr>
      <w:r>
        <w:rPr>
          <w:w w:val="95"/>
        </w:rPr>
        <w:t>ABILIFY Mantenim (aripiprazol) suspensión inyectable de liberación prolongada en </w:t>
      </w:r>
      <w:r>
        <w:rPr/>
        <w:t>viales de un solo uso está disponible en 300-mg o viales de fuerza 400 mg.</w:t>
      </w:r>
    </w:p>
    <w:p>
      <w:pPr>
        <w:pStyle w:val="BodyText"/>
        <w:spacing w:line="182" w:lineRule="exact" w:before="27"/>
        <w:ind w:left="140"/>
      </w:pPr>
      <w:r>
        <w:rPr/>
        <w:t>El kit 300-mg incluye (NDC 59148-018-71):</w:t>
      </w:r>
    </w:p>
    <w:p>
      <w:pPr>
        <w:pStyle w:val="ListParagraph"/>
        <w:numPr>
          <w:ilvl w:val="2"/>
          <w:numId w:val="28"/>
        </w:numPr>
        <w:tabs>
          <w:tab w:pos="860" w:val="left" w:leader="none"/>
        </w:tabs>
        <w:spacing w:line="216" w:lineRule="auto" w:before="13" w:after="0"/>
        <w:ind w:left="860" w:right="39" w:hanging="420"/>
        <w:jc w:val="both"/>
        <w:rPr>
          <w:sz w:val="16"/>
        </w:rPr>
      </w:pPr>
      <w:r>
        <w:rPr>
          <w:w w:val="90"/>
          <w:sz w:val="16"/>
        </w:rPr>
        <w:t>300-mg, de un solo uso vial de ABILIFY Mantenim (aripiprazol) extended- </w:t>
      </w:r>
      <w:r>
        <w:rPr>
          <w:sz w:val="16"/>
        </w:rPr>
        <w:t>liberar suspensión liofilizada en polvo inyectable</w:t>
      </w:r>
    </w:p>
    <w:p>
      <w:pPr>
        <w:pStyle w:val="ListParagraph"/>
        <w:numPr>
          <w:ilvl w:val="2"/>
          <w:numId w:val="28"/>
        </w:numPr>
        <w:tabs>
          <w:tab w:pos="859" w:val="left" w:leader="none"/>
          <w:tab w:pos="860" w:val="left" w:leader="none"/>
        </w:tabs>
        <w:spacing w:line="180" w:lineRule="exact" w:before="0" w:after="0"/>
        <w:ind w:left="860" w:right="0" w:hanging="420"/>
        <w:jc w:val="left"/>
        <w:rPr>
          <w:sz w:val="16"/>
        </w:rPr>
      </w:pPr>
      <w:r>
        <w:rPr>
          <w:sz w:val="16"/>
        </w:rPr>
        <w:t>5-ml, de un solo uso vial de agua estéril para inyección, USP</w:t>
      </w:r>
    </w:p>
    <w:p>
      <w:pPr>
        <w:pStyle w:val="ListParagraph"/>
        <w:numPr>
          <w:ilvl w:val="2"/>
          <w:numId w:val="28"/>
        </w:numPr>
        <w:tabs>
          <w:tab w:pos="860" w:val="left" w:leader="none"/>
        </w:tabs>
        <w:spacing w:line="216" w:lineRule="auto" w:before="12" w:after="0"/>
        <w:ind w:left="860" w:right="39" w:hanging="420"/>
        <w:jc w:val="both"/>
        <w:rPr>
          <w:sz w:val="16"/>
        </w:rPr>
      </w:pPr>
      <w:r>
        <w:rPr>
          <w:sz w:val="16"/>
        </w:rPr>
        <w:t>Una 3-ml, jeringa de bloqueo luer con calibre 21, de 1,5 pulgadas de aguja de seguridad hipodérmica pre-unida con el dispositivo de protección de aguja</w:t>
      </w:r>
    </w:p>
    <w:p>
      <w:pPr>
        <w:pStyle w:val="ListParagraph"/>
        <w:numPr>
          <w:ilvl w:val="2"/>
          <w:numId w:val="28"/>
        </w:numPr>
        <w:tabs>
          <w:tab w:pos="859" w:val="left" w:leader="none"/>
          <w:tab w:pos="860" w:val="left" w:leader="none"/>
        </w:tabs>
        <w:spacing w:line="180" w:lineRule="exact" w:before="0" w:after="0"/>
        <w:ind w:left="860" w:right="0" w:hanging="420"/>
        <w:jc w:val="left"/>
        <w:rPr>
          <w:sz w:val="16"/>
        </w:rPr>
      </w:pPr>
      <w:r>
        <w:rPr>
          <w:sz w:val="16"/>
        </w:rPr>
        <w:t>Una 3-ml, de bloqueo Luer de la jeringa desechable con punta de cierre luer</w:t>
      </w:r>
    </w:p>
    <w:p>
      <w:pPr>
        <w:pStyle w:val="ListParagraph"/>
        <w:numPr>
          <w:ilvl w:val="2"/>
          <w:numId w:val="28"/>
        </w:numPr>
        <w:tabs>
          <w:tab w:pos="859" w:val="left" w:leader="none"/>
          <w:tab w:pos="860" w:val="left" w:leader="none"/>
        </w:tabs>
        <w:spacing w:line="179" w:lineRule="exact" w:before="0" w:after="0"/>
        <w:ind w:left="860" w:right="0" w:hanging="420"/>
        <w:jc w:val="left"/>
        <w:rPr>
          <w:sz w:val="16"/>
        </w:rPr>
      </w:pPr>
      <w:r>
        <w:rPr>
          <w:w w:val="95"/>
          <w:sz w:val="16"/>
        </w:rPr>
        <w:t>Un adaptador de vial</w:t>
      </w:r>
    </w:p>
    <w:p>
      <w:pPr>
        <w:pStyle w:val="ListParagraph"/>
        <w:numPr>
          <w:ilvl w:val="2"/>
          <w:numId w:val="28"/>
        </w:numPr>
        <w:tabs>
          <w:tab w:pos="860" w:val="left" w:leader="none"/>
        </w:tabs>
        <w:spacing w:line="216" w:lineRule="auto" w:before="13" w:after="0"/>
        <w:ind w:left="860" w:right="39" w:hanging="420"/>
        <w:jc w:val="both"/>
        <w:rPr>
          <w:sz w:val="16"/>
        </w:rPr>
      </w:pPr>
      <w:r>
        <w:rPr>
          <w:w w:val="95"/>
          <w:sz w:val="16"/>
        </w:rPr>
        <w:t>Uno de calibre 23, de 1 pulgada (25 mm) de aguja de seguridad hipodérmica con la aguja </w:t>
      </w:r>
      <w:r>
        <w:rPr>
          <w:sz w:val="16"/>
        </w:rPr>
        <w:t>Dispositivo de protección para la administración deltoides en los pacientes no obesos</w:t>
      </w:r>
    </w:p>
    <w:p>
      <w:pPr>
        <w:pStyle w:val="ListParagraph"/>
        <w:numPr>
          <w:ilvl w:val="2"/>
          <w:numId w:val="28"/>
        </w:numPr>
        <w:tabs>
          <w:tab w:pos="860" w:val="left" w:leader="none"/>
        </w:tabs>
        <w:spacing w:line="216" w:lineRule="auto" w:before="13" w:after="0"/>
        <w:ind w:left="860" w:right="39" w:hanging="420"/>
        <w:jc w:val="both"/>
        <w:rPr>
          <w:sz w:val="16"/>
        </w:rPr>
      </w:pPr>
      <w:r>
        <w:rPr>
          <w:w w:val="95"/>
          <w:sz w:val="16"/>
        </w:rPr>
        <w:t>Uno de calibre 22, de 1,5 pulgadas (38 mm) de aguja de seguridad hipodérmica con un dispositivo de protección de la aguja para la administración de los glúteos en los pacientes no obesos o deltoides </w:t>
      </w:r>
      <w:r>
        <w:rPr>
          <w:sz w:val="16"/>
        </w:rPr>
        <w:t>la administración en los pacientes obesos</w:t>
      </w:r>
    </w:p>
    <w:p>
      <w:pPr>
        <w:pStyle w:val="ListParagraph"/>
        <w:numPr>
          <w:ilvl w:val="2"/>
          <w:numId w:val="28"/>
        </w:numPr>
        <w:tabs>
          <w:tab w:pos="860" w:val="left" w:leader="none"/>
        </w:tabs>
        <w:spacing w:line="216" w:lineRule="auto" w:before="13" w:after="0"/>
        <w:ind w:left="860" w:right="39" w:hanging="420"/>
        <w:jc w:val="both"/>
        <w:rPr>
          <w:sz w:val="16"/>
        </w:rPr>
      </w:pPr>
      <w:r>
        <w:rPr>
          <w:w w:val="95"/>
          <w:sz w:val="16"/>
        </w:rPr>
        <w:t>Uno de calibre 21, de 2 pulgadas (51 mm) de aguja de seguridad hipodérmica con la aguja </w:t>
      </w:r>
      <w:r>
        <w:rPr>
          <w:sz w:val="16"/>
        </w:rPr>
        <w:t>Dispositivo de protección para la administración glútea en pacientes obesos</w:t>
      </w:r>
    </w:p>
    <w:p>
      <w:pPr>
        <w:pStyle w:val="BodyText"/>
        <w:spacing w:line="182" w:lineRule="exact" w:before="27"/>
        <w:ind w:left="140"/>
      </w:pPr>
      <w:r>
        <w:rPr/>
        <w:t>El kit 400-mg incluye (NDC 59148-019-71):</w:t>
      </w:r>
    </w:p>
    <w:p>
      <w:pPr>
        <w:pStyle w:val="ListParagraph"/>
        <w:numPr>
          <w:ilvl w:val="2"/>
          <w:numId w:val="28"/>
        </w:numPr>
        <w:tabs>
          <w:tab w:pos="860" w:val="left" w:leader="none"/>
        </w:tabs>
        <w:spacing w:line="216" w:lineRule="auto" w:before="12" w:after="0"/>
        <w:ind w:left="860" w:right="39" w:hanging="420"/>
        <w:jc w:val="both"/>
        <w:rPr>
          <w:sz w:val="16"/>
        </w:rPr>
      </w:pPr>
      <w:r>
        <w:rPr>
          <w:w w:val="90"/>
          <w:sz w:val="16"/>
        </w:rPr>
        <w:t>400-mg, de un solo uso vial de ABILIFY Mantenim (aripiprazol) extended- </w:t>
      </w:r>
      <w:r>
        <w:rPr>
          <w:sz w:val="16"/>
        </w:rPr>
        <w:t>liberar suspensión liofilizada en polvo inyectable</w:t>
      </w:r>
    </w:p>
    <w:p>
      <w:pPr>
        <w:pStyle w:val="ListParagraph"/>
        <w:numPr>
          <w:ilvl w:val="2"/>
          <w:numId w:val="28"/>
        </w:numPr>
        <w:tabs>
          <w:tab w:pos="859" w:val="left" w:leader="none"/>
          <w:tab w:pos="860" w:val="left" w:leader="none"/>
        </w:tabs>
        <w:spacing w:line="180" w:lineRule="exact" w:before="0" w:after="0"/>
        <w:ind w:left="860" w:right="0" w:hanging="420"/>
        <w:jc w:val="left"/>
        <w:rPr>
          <w:sz w:val="16"/>
        </w:rPr>
      </w:pPr>
      <w:r>
        <w:rPr>
          <w:sz w:val="16"/>
        </w:rPr>
        <w:t>5-ml, de un solo uso vial de agua estéril para inyección, USP</w:t>
      </w:r>
    </w:p>
    <w:p>
      <w:pPr>
        <w:pStyle w:val="ListParagraph"/>
        <w:numPr>
          <w:ilvl w:val="2"/>
          <w:numId w:val="28"/>
        </w:numPr>
        <w:tabs>
          <w:tab w:pos="860" w:val="left" w:leader="none"/>
        </w:tabs>
        <w:spacing w:line="216" w:lineRule="auto" w:before="13" w:after="0"/>
        <w:ind w:left="860" w:right="39" w:hanging="420"/>
        <w:jc w:val="both"/>
        <w:rPr>
          <w:sz w:val="16"/>
        </w:rPr>
      </w:pPr>
      <w:r>
        <w:rPr>
          <w:sz w:val="16"/>
        </w:rPr>
        <w:t>Una 3-ml, jeringa de bloqueo luer con calibre 21, de 1,5 pulgadas de aguja de seguridad hipodérmica pre-unida con el dispositivo de protección de aguja</w:t>
      </w:r>
    </w:p>
    <w:p>
      <w:pPr>
        <w:pStyle w:val="ListParagraph"/>
        <w:numPr>
          <w:ilvl w:val="2"/>
          <w:numId w:val="28"/>
        </w:numPr>
        <w:tabs>
          <w:tab w:pos="859" w:val="left" w:leader="none"/>
          <w:tab w:pos="860" w:val="left" w:leader="none"/>
        </w:tabs>
        <w:spacing w:line="180" w:lineRule="exact" w:before="0" w:after="0"/>
        <w:ind w:left="860" w:right="0" w:hanging="420"/>
        <w:jc w:val="left"/>
        <w:rPr>
          <w:sz w:val="16"/>
        </w:rPr>
      </w:pPr>
      <w:r>
        <w:rPr>
          <w:sz w:val="16"/>
        </w:rPr>
        <w:t>Una 3-ml, de bloqueo Luer de la jeringa desechable con punta de cierre luer</w:t>
      </w:r>
    </w:p>
    <w:p>
      <w:pPr>
        <w:pStyle w:val="ListParagraph"/>
        <w:numPr>
          <w:ilvl w:val="2"/>
          <w:numId w:val="28"/>
        </w:numPr>
        <w:tabs>
          <w:tab w:pos="859" w:val="left" w:leader="none"/>
          <w:tab w:pos="860" w:val="left" w:leader="none"/>
        </w:tabs>
        <w:spacing w:line="179" w:lineRule="exact" w:before="0" w:after="0"/>
        <w:ind w:left="860" w:right="0" w:hanging="420"/>
        <w:jc w:val="left"/>
        <w:rPr>
          <w:sz w:val="16"/>
        </w:rPr>
      </w:pPr>
      <w:r>
        <w:rPr>
          <w:w w:val="95"/>
          <w:sz w:val="16"/>
        </w:rPr>
        <w:t>Un adaptador de vial</w:t>
      </w:r>
    </w:p>
    <w:p>
      <w:pPr>
        <w:pStyle w:val="ListParagraph"/>
        <w:numPr>
          <w:ilvl w:val="2"/>
          <w:numId w:val="28"/>
        </w:numPr>
        <w:tabs>
          <w:tab w:pos="860" w:val="left" w:leader="none"/>
        </w:tabs>
        <w:spacing w:line="216" w:lineRule="auto" w:before="13" w:after="0"/>
        <w:ind w:left="860" w:right="39" w:hanging="420"/>
        <w:jc w:val="both"/>
        <w:rPr>
          <w:sz w:val="16"/>
        </w:rPr>
      </w:pPr>
      <w:r>
        <w:rPr>
          <w:w w:val="95"/>
          <w:sz w:val="16"/>
        </w:rPr>
        <w:t>Uno de calibre 23, de 1 pulgada (25 mm) de aguja de seguridad hipodérmica con la aguja </w:t>
      </w:r>
      <w:r>
        <w:rPr>
          <w:sz w:val="16"/>
        </w:rPr>
        <w:t>Dispositivo de protección para la administración deltoides en los pacientes no obesos</w:t>
      </w:r>
    </w:p>
    <w:p>
      <w:pPr>
        <w:pStyle w:val="ListParagraph"/>
        <w:numPr>
          <w:ilvl w:val="2"/>
          <w:numId w:val="28"/>
        </w:numPr>
        <w:tabs>
          <w:tab w:pos="860" w:val="left" w:leader="none"/>
        </w:tabs>
        <w:spacing w:line="216" w:lineRule="auto" w:before="13" w:after="0"/>
        <w:ind w:left="860" w:right="39" w:hanging="420"/>
        <w:jc w:val="both"/>
        <w:rPr>
          <w:sz w:val="16"/>
        </w:rPr>
      </w:pPr>
      <w:r>
        <w:rPr>
          <w:w w:val="95"/>
          <w:sz w:val="16"/>
        </w:rPr>
        <w:t>Uno de calibre 22, de 1,5 pulgadas (38 mm) de aguja de seguridad hipodérmica con un dispositivo de protección de la aguja para la administración de los glúteos en los pacientes no obesos o deltoides </w:t>
      </w:r>
      <w:r>
        <w:rPr>
          <w:sz w:val="16"/>
        </w:rPr>
        <w:t>la administración en los pacientes obesos</w:t>
      </w:r>
    </w:p>
    <w:p>
      <w:pPr>
        <w:pStyle w:val="ListParagraph"/>
        <w:numPr>
          <w:ilvl w:val="2"/>
          <w:numId w:val="28"/>
        </w:numPr>
        <w:tabs>
          <w:tab w:pos="860" w:val="left" w:leader="none"/>
        </w:tabs>
        <w:spacing w:line="216" w:lineRule="auto" w:before="12" w:after="0"/>
        <w:ind w:left="860" w:right="39" w:hanging="420"/>
        <w:jc w:val="both"/>
        <w:rPr>
          <w:sz w:val="16"/>
        </w:rPr>
      </w:pPr>
      <w:r>
        <w:rPr>
          <w:w w:val="95"/>
          <w:sz w:val="16"/>
        </w:rPr>
        <w:t>Uno de calibre 21, de 2 pulgadas (51 mm) de aguja de seguridad hipodérmica con la aguja </w:t>
      </w:r>
      <w:r>
        <w:rPr>
          <w:sz w:val="16"/>
        </w:rPr>
        <w:t>Dispositivo de protección para la administración glútea en pacientes obesos</w:t>
      </w:r>
    </w:p>
    <w:p>
      <w:pPr>
        <w:pStyle w:val="Heading3"/>
        <w:numPr>
          <w:ilvl w:val="1"/>
          <w:numId w:val="28"/>
        </w:numPr>
        <w:tabs>
          <w:tab w:pos="560" w:val="left" w:leader="none"/>
        </w:tabs>
        <w:spacing w:line="240" w:lineRule="auto" w:before="42" w:after="0"/>
        <w:ind w:left="560" w:right="0" w:hanging="420"/>
        <w:jc w:val="left"/>
      </w:pPr>
      <w:r>
        <w:rPr>
          <w:w w:val="95"/>
        </w:rPr>
        <w:t>Almacenamiento</w:t>
      </w:r>
    </w:p>
    <w:p>
      <w:pPr>
        <w:spacing w:line="182" w:lineRule="exact" w:before="24"/>
        <w:ind w:left="140" w:right="0" w:firstLine="0"/>
        <w:jc w:val="left"/>
        <w:rPr>
          <w:b/>
          <w:sz w:val="16"/>
        </w:rPr>
      </w:pPr>
      <w:r>
        <w:rPr>
          <w:b/>
          <w:w w:val="95"/>
          <w:sz w:val="16"/>
        </w:rPr>
        <w:t>Jeringa precargada de doble cámara:</w:t>
      </w:r>
    </w:p>
    <w:p>
      <w:pPr>
        <w:pStyle w:val="BodyText"/>
        <w:spacing w:line="216" w:lineRule="auto" w:before="12"/>
        <w:ind w:left="140" w:right="31"/>
      </w:pPr>
      <w:r>
        <w:rPr>
          <w:w w:val="95"/>
        </w:rPr>
        <w:t>Almacenar por debajo de 30 ° C [86 ° F]. No congelar. Proteger la jeringa de la luz mediante el almacenamiento en</w:t>
      </w:r>
      <w:r>
        <w:rPr/>
        <w:t>el embalaje original hasta el momento de su uso.</w:t>
      </w:r>
    </w:p>
    <w:p>
      <w:pPr>
        <w:pStyle w:val="Heading3"/>
        <w:spacing w:line="182" w:lineRule="exact" w:before="27"/>
      </w:pPr>
      <w:r>
        <w:rPr/>
        <w:t>Frasco:</w:t>
      </w:r>
    </w:p>
    <w:p>
      <w:pPr>
        <w:pStyle w:val="BodyText"/>
        <w:spacing w:line="216" w:lineRule="auto" w:before="13"/>
        <w:ind w:left="140" w:right="30"/>
      </w:pPr>
      <w:r>
        <w:rPr>
          <w:w w:val="95"/>
        </w:rPr>
        <w:t>Almacenar a 25 ° C (77 ° F), excursiones permitido entre 15 ° C y 30 ° C (59 ° F a 86 ° F) </w:t>
      </w:r>
      <w:r>
        <w:rPr/>
        <w:t>[Ver USP el control de temperatura de la habitación].</w:t>
      </w:r>
    </w:p>
    <w:p>
      <w:pPr>
        <w:pStyle w:val="Heading3"/>
        <w:numPr>
          <w:ilvl w:val="0"/>
          <w:numId w:val="28"/>
        </w:numPr>
        <w:tabs>
          <w:tab w:pos="560" w:val="left" w:leader="none"/>
        </w:tabs>
        <w:spacing w:line="182" w:lineRule="exact" w:before="164" w:after="0"/>
        <w:ind w:left="560" w:right="0" w:hanging="420"/>
        <w:jc w:val="both"/>
      </w:pPr>
      <w:r>
        <w:rPr>
          <w:spacing w:val="-6"/>
          <w:w w:val="83"/>
        </w:rPr>
        <w:br w:type="column"/>
      </w:r>
      <w:r>
        <w:rPr>
          <w:spacing w:val="-3"/>
          <w:w w:val="95"/>
        </w:rPr>
        <w:t>PACIENTE </w:t>
      </w:r>
      <w:r>
        <w:rPr>
          <w:w w:val="95"/>
        </w:rPr>
        <w:t>INFORMACIÓN DE ORIENTACIÓN</w:t>
      </w:r>
    </w:p>
    <w:p>
      <w:pPr>
        <w:spacing w:line="182" w:lineRule="exact" w:before="0"/>
        <w:ind w:left="140" w:right="0" w:firstLine="0"/>
        <w:jc w:val="both"/>
        <w:rPr>
          <w:i/>
          <w:sz w:val="16"/>
        </w:rPr>
      </w:pPr>
      <w:r>
        <w:rPr>
          <w:sz w:val="16"/>
        </w:rPr>
        <w:t>Aconsejar al paciente que lea la etiqueta para el paciente aprobada por la FDA (Guía del medicamento)</w:t>
      </w:r>
    </w:p>
    <w:p>
      <w:pPr>
        <w:pStyle w:val="Heading3"/>
        <w:spacing w:line="182" w:lineRule="exact" w:before="38"/>
        <w:jc w:val="both"/>
      </w:pPr>
      <w:r>
        <w:rPr>
          <w:w w:val="95"/>
        </w:rPr>
        <w:t>El juego patológico y otras conductas compulsivas</w:t>
      </w:r>
    </w:p>
    <w:p>
      <w:pPr>
        <w:pStyle w:val="BodyText"/>
        <w:spacing w:line="216" w:lineRule="auto" w:before="13"/>
        <w:ind w:left="140" w:right="717"/>
        <w:jc w:val="both"/>
      </w:pPr>
      <w:r>
        <w:rPr>
          <w:w w:val="95"/>
        </w:rPr>
        <w:t>Asesorar a los pacientes y sus cuidadores de la posibilidad de que puedan experimentar los impulsos compulsivos para ir de compras, incremento en el impulso por apostar, los impulsos sexuales compulsivos, atracones y / u otros impulsos compulsivos y la incapacidad de controlar estos impulsos mientras toma aripiprazol. En algunos casos, pero no todos, se informó de los impulsos haberse detenido cuando se reduce la dosis o se detienen [véase Advertencias y Precauciones</w:t>
      </w:r>
      <w:r>
        <w:rPr>
          <w:i/>
        </w:rPr>
        <w:t>(5.6)]</w:t>
      </w:r>
      <w:r>
        <w:rPr/>
        <w:t>.</w:t>
      </w:r>
    </w:p>
    <w:p>
      <w:pPr>
        <w:pStyle w:val="Heading3"/>
        <w:spacing w:line="182" w:lineRule="exact" w:before="24"/>
        <w:jc w:val="both"/>
      </w:pPr>
      <w:r>
        <w:rPr>
          <w:w w:val="95"/>
        </w:rPr>
        <w:t>Síndrome neuroléptico maligno</w:t>
      </w:r>
    </w:p>
    <w:p>
      <w:pPr>
        <w:pStyle w:val="BodyText"/>
        <w:spacing w:line="216" w:lineRule="auto" w:before="13"/>
        <w:ind w:left="140" w:right="717"/>
        <w:jc w:val="both"/>
        <w:rPr>
          <w:i/>
        </w:rPr>
      </w:pPr>
      <w:r>
        <w:rPr>
          <w:w w:val="95"/>
        </w:rPr>
        <w:t>aconsejar a los pacientes acerca de una reacción adversa potencialmente fatal denominan NMS que se ha reportado en asociación con la administración de fármacos antipsicóticos. Aconsejar a los pacientes, familiares, cuidadores o ponerse en contacto con un proveedor de atención médica o informe a la sala de emergencias si experimentan signos y síntomas del SNM [véase Advertencias</w:t>
      </w:r>
      <w:r>
        <w:rPr>
          <w:i/>
        </w:rPr>
        <w:t>y precauciones (5.3)].</w:t>
      </w:r>
    </w:p>
    <w:p>
      <w:pPr>
        <w:pStyle w:val="Heading3"/>
        <w:spacing w:line="182" w:lineRule="exact" w:before="25"/>
        <w:jc w:val="both"/>
      </w:pPr>
      <w:r>
        <w:rPr>
          <w:w w:val="95"/>
        </w:rPr>
        <w:t>La discinesia tardía</w:t>
      </w:r>
    </w:p>
    <w:p>
      <w:pPr>
        <w:pStyle w:val="BodyText"/>
        <w:spacing w:line="216" w:lineRule="auto" w:before="13"/>
        <w:ind w:left="140" w:right="717"/>
        <w:jc w:val="both"/>
        <w:rPr>
          <w:i/>
        </w:rPr>
      </w:pPr>
      <w:r>
        <w:rPr>
          <w:w w:val="95"/>
        </w:rPr>
        <w:t>Aconsejar a los pacientes que los movimientos involuntarios anormales han sido asociados con la administración de fármacos antipsicóticos. aconsejar a los pacientes que notifiquen a su médico si notan cualquier movimiento que no pueden controlar en su cara,</w:t>
      </w:r>
      <w:r>
        <w:rPr/>
        <w:t>la lengua o la otra parte del cuerpo [ver Advertencias y precauciones (5.4)].</w:t>
      </w:r>
    </w:p>
    <w:p>
      <w:pPr>
        <w:pStyle w:val="Heading3"/>
        <w:spacing w:line="216" w:lineRule="auto" w:before="41"/>
        <w:ind w:right="717"/>
        <w:jc w:val="both"/>
      </w:pPr>
      <w:r>
        <w:rPr>
          <w:w w:val="90"/>
        </w:rPr>
        <w:t>Los cambios metabólicos (hiperglucemia y la diabetes mellitus, dislipidemia, y el aumento de peso)</w:t>
      </w:r>
    </w:p>
    <w:p>
      <w:pPr>
        <w:pStyle w:val="BodyText"/>
        <w:spacing w:line="216" w:lineRule="auto" w:before="13"/>
        <w:ind w:left="140" w:right="717"/>
        <w:jc w:val="both"/>
        <w:rPr>
          <w:i/>
        </w:rPr>
      </w:pPr>
      <w:r>
        <w:rPr>
          <w:w w:val="90"/>
        </w:rPr>
        <w:t>Educar a los pacientes sobre el riesgo de cambios metabólicos, cómo reconocer los síntomas de la hiperglucemia y la diabetes mellitus y la necesidad de una vigilancia específica, incluyendo </w:t>
      </w:r>
      <w:r>
        <w:rPr/>
        <w:t>de glucosa en sangre, lípidos, y el peso [ver Advertencias y precauciones (5.5)].</w:t>
      </w:r>
    </w:p>
    <w:p>
      <w:pPr>
        <w:pStyle w:val="Heading3"/>
        <w:spacing w:line="182" w:lineRule="exact" w:before="26"/>
        <w:jc w:val="both"/>
      </w:pPr>
      <w:r>
        <w:rPr>
          <w:w w:val="95"/>
        </w:rPr>
        <w:t>Hipotensión ortostática</w:t>
      </w:r>
    </w:p>
    <w:p>
      <w:pPr>
        <w:pStyle w:val="BodyText"/>
        <w:spacing w:line="216" w:lineRule="auto" w:before="13"/>
        <w:ind w:left="140" w:right="719"/>
        <w:jc w:val="both"/>
        <w:rPr>
          <w:i/>
        </w:rPr>
      </w:pPr>
      <w:r>
        <w:rPr>
          <w:w w:val="95"/>
        </w:rPr>
        <w:t>Educar a los pacientes sobre el riesgo de hipotensión ortostática y síncope especialmente al principio del tratamiento, y también en tiempos de re-iniciar el tratamiento o aumentos en la dosificación </w:t>
      </w:r>
      <w:r>
        <w:rPr>
          <w:i/>
        </w:rPr>
        <w:t>[Ver Advertencias y precauciones (5.7)].</w:t>
      </w:r>
    </w:p>
    <w:p>
      <w:pPr>
        <w:pStyle w:val="Heading3"/>
        <w:spacing w:line="182" w:lineRule="exact" w:before="26"/>
        <w:jc w:val="both"/>
      </w:pPr>
      <w:r>
        <w:rPr>
          <w:w w:val="95"/>
        </w:rPr>
        <w:t>Leucopenia / neutropenia</w:t>
      </w:r>
    </w:p>
    <w:p>
      <w:pPr>
        <w:pStyle w:val="BodyText"/>
        <w:spacing w:line="216" w:lineRule="auto" w:before="13"/>
        <w:ind w:left="140" w:right="717"/>
        <w:jc w:val="both"/>
        <w:rPr>
          <w:i/>
        </w:rPr>
      </w:pPr>
      <w:r>
        <w:rPr/>
        <w:t>Aconsejar a los pacientes con un recuento de WBC bajo pre-existente o un historial de leucopenia / neutropenia inducida por fármacos que deben tener su CBC monitoreado mientras recibe ABILIFY Mantenim [ver Advertencias y precauciones (5.9)].</w:t>
      </w:r>
    </w:p>
    <w:p>
      <w:pPr>
        <w:pStyle w:val="Heading3"/>
        <w:spacing w:line="182" w:lineRule="exact" w:before="26"/>
        <w:jc w:val="both"/>
      </w:pPr>
      <w:r>
        <w:rPr>
          <w:w w:val="95"/>
        </w:rPr>
        <w:t>La interferencia con el rendimiento cognitivo y motor</w:t>
      </w:r>
    </w:p>
    <w:p>
      <w:pPr>
        <w:pStyle w:val="BodyText"/>
        <w:spacing w:line="216" w:lineRule="auto" w:before="13"/>
        <w:ind w:left="140" w:right="717"/>
        <w:jc w:val="both"/>
        <w:rPr>
          <w:i/>
        </w:rPr>
      </w:pPr>
      <w:r>
        <w:rPr>
          <w:w w:val="90"/>
        </w:rPr>
        <w:t>Debido a ABILIFY Mantenim puede tener el potencial para alterar el juicio, el pensamiento o las habilidades motoras, instruir a los pacientes a tener cuidado de no utilizar maquinaria peligrosa, incluyendo automóviles, hasta que tengan la certeza de que el tratamiento con aripiprazol Mantenim no les afecta negativamente a [véase Advertencias y Precauciones ( 5,11)].</w:t>
      </w:r>
    </w:p>
    <w:p>
      <w:pPr>
        <w:pStyle w:val="Heading3"/>
        <w:spacing w:line="182" w:lineRule="exact" w:before="25"/>
        <w:jc w:val="both"/>
      </w:pPr>
      <w:r>
        <w:rPr>
          <w:w w:val="95"/>
        </w:rPr>
        <w:t>La exposición al calor y la deshidratación</w:t>
      </w:r>
    </w:p>
    <w:p>
      <w:pPr>
        <w:pStyle w:val="BodyText"/>
        <w:spacing w:line="172" w:lineRule="exact"/>
        <w:ind w:left="140"/>
        <w:jc w:val="both"/>
      </w:pPr>
      <w:r>
        <w:rPr/>
        <w:t>Aconsejar a los pacientes en relación con la atención adecuada para evitar el sobrecalentamiento y la deshidratación</w:t>
      </w:r>
    </w:p>
    <w:p>
      <w:pPr>
        <w:spacing w:line="174" w:lineRule="exact" w:before="0"/>
        <w:ind w:left="140" w:right="0" w:firstLine="0"/>
        <w:jc w:val="both"/>
        <w:rPr>
          <w:i/>
          <w:sz w:val="16"/>
        </w:rPr>
      </w:pPr>
      <w:r>
        <w:rPr>
          <w:i/>
          <w:sz w:val="16"/>
        </w:rPr>
        <w:t>[Ver Advertencias y precauciones (5.12)].</w:t>
      </w:r>
    </w:p>
    <w:p>
      <w:pPr>
        <w:pStyle w:val="Heading3"/>
        <w:spacing w:line="182" w:lineRule="exact" w:before="25"/>
        <w:jc w:val="both"/>
      </w:pPr>
      <w:r>
        <w:rPr>
          <w:w w:val="95"/>
        </w:rPr>
        <w:t>Medicación concomitante</w:t>
      </w:r>
    </w:p>
    <w:p>
      <w:pPr>
        <w:pStyle w:val="BodyText"/>
        <w:spacing w:line="216" w:lineRule="auto" w:before="12"/>
        <w:ind w:left="140" w:right="718"/>
        <w:jc w:val="both"/>
        <w:rPr>
          <w:i/>
        </w:rPr>
      </w:pPr>
      <w:r>
        <w:rPr>
          <w:w w:val="95"/>
        </w:rPr>
        <w:t>Aconsejar a los pacientes que informen a sus proveedores de atención médica de cualquier cambio en su prescripción actual o el exceso de medicamentos de venta libre ya que hay una posibilidad de que clínicamente </w:t>
      </w:r>
      <w:r>
        <w:rPr/>
        <w:t>interacciones significativas [ver Interacciones farmacológicas (7)].</w:t>
      </w:r>
    </w:p>
    <w:p>
      <w:pPr>
        <w:pStyle w:val="Heading3"/>
        <w:spacing w:line="182" w:lineRule="exact" w:before="27"/>
        <w:jc w:val="both"/>
      </w:pPr>
      <w:r>
        <w:rPr>
          <w:w w:val="95"/>
        </w:rPr>
        <w:t>El embarazo</w:t>
      </w:r>
    </w:p>
    <w:p>
      <w:pPr>
        <w:pStyle w:val="BodyText"/>
        <w:spacing w:line="216" w:lineRule="auto" w:before="12"/>
        <w:ind w:left="140" w:right="717"/>
        <w:jc w:val="both"/>
      </w:pPr>
      <w:r>
        <w:rPr>
          <w:w w:val="90"/>
        </w:rPr>
        <w:t>Aconsejar a los pacientes que ABILIFY Mantenim puede causar extrapiramidales y / o retirada </w:t>
      </w:r>
      <w:r>
        <w:rPr/>
        <w:t>síntomas en un recién nacido y para notificar a su proveedor de atención médica con un embarazo conocido o sospechado. Asesorar a los pacientes que no existe un registro de exposición durante el embarazo que monitorea los resultados del embarazo en mujeres expuestas a ABILIFY Mantenim durante el embarazo [ver Uso en poblaciones específicas (8.1)].</w:t>
      </w:r>
    </w:p>
    <w:p>
      <w:pPr>
        <w:pStyle w:val="BodyText"/>
        <w:rPr>
          <w:sz w:val="20"/>
        </w:rPr>
      </w:pPr>
    </w:p>
    <w:p>
      <w:pPr>
        <w:pStyle w:val="BodyText"/>
        <w:spacing w:line="174" w:lineRule="exact" w:before="133"/>
        <w:ind w:left="140"/>
        <w:jc w:val="both"/>
      </w:pPr>
      <w:r>
        <w:rPr/>
        <w:t>Distribuido y comercializado por</w:t>
      </w:r>
    </w:p>
    <w:p>
      <w:pPr>
        <w:pStyle w:val="BodyText"/>
        <w:spacing w:line="290" w:lineRule="auto"/>
        <w:ind w:left="140" w:right="1889"/>
      </w:pPr>
      <w:r>
        <w:rPr>
          <w:w w:val="90"/>
        </w:rPr>
        <w:t>Otsuka America Pharmaceutical, Inc., Rockville, MD 20850 EE.UU. </w:t>
      </w:r>
      <w:r>
        <w:rPr/>
        <w:t>Comercializado por Lundbeck, Deerfield, IL 60015 EE.UU.</w:t>
      </w:r>
    </w:p>
    <w:p>
      <w:pPr>
        <w:pStyle w:val="BodyText"/>
        <w:spacing w:before="41"/>
        <w:ind w:left="140"/>
        <w:jc w:val="both"/>
      </w:pPr>
      <w:r>
        <w:rPr/>
        <w:t>ABILIFY Mantenim es una marca comercial registrada de Otsuka Pharmaceutical Co., Ltd.</w:t>
      </w:r>
    </w:p>
    <w:p>
      <w:pPr>
        <w:pStyle w:val="BodyText"/>
        <w:tabs>
          <w:tab w:pos="1853" w:val="left" w:leader="none"/>
        </w:tabs>
        <w:spacing w:line="355" w:lineRule="auto" w:before="53"/>
        <w:ind w:left="140" w:right="1856"/>
      </w:pPr>
      <w:r>
        <w:rPr>
          <w:w w:val="90"/>
        </w:rPr>
        <w:t>© 2019, Otsuka Pharmaceutical Co., Ltd., Tokio, Japón 101-8535 febrero </w:t>
      </w:r>
      <w:r>
        <w:rPr>
          <w:w w:val="95"/>
        </w:rPr>
        <w:t>2019</w:t>
        <w:tab/>
      </w:r>
      <w:r>
        <w:rPr/>
        <w:t>09US19IBR0001</w:t>
      </w:r>
    </w:p>
    <w:p>
      <w:pPr>
        <w:spacing w:after="0" w:line="355" w:lineRule="auto"/>
        <w:sectPr>
          <w:pgSz w:w="12240" w:h="15840"/>
          <w:pgMar w:header="676" w:footer="367" w:top="860" w:bottom="640" w:left="580" w:right="0"/>
          <w:cols w:num="2" w:equalWidth="0">
            <w:col w:w="5462" w:space="58"/>
            <w:col w:w="6140"/>
          </w:cols>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0"/>
      </w:tblGrid>
      <w:tr>
        <w:trPr>
          <w:trHeight w:val="1151" w:hRule="atLeast"/>
        </w:trPr>
        <w:tc>
          <w:tcPr>
            <w:tcW w:w="10800" w:type="dxa"/>
          </w:tcPr>
          <w:p>
            <w:pPr>
              <w:pStyle w:val="TableParagraph"/>
              <w:spacing w:before="158"/>
              <w:ind w:left="1973" w:right="1963"/>
              <w:jc w:val="center"/>
              <w:rPr>
                <w:b/>
                <w:sz w:val="24"/>
              </w:rPr>
            </w:pPr>
            <w:r>
              <w:rPr>
                <w:b/>
                <w:w w:val="95"/>
                <w:sz w:val="24"/>
              </w:rPr>
              <w:t>Guía del Medicamento</w:t>
            </w:r>
          </w:p>
          <w:p>
            <w:pPr>
              <w:pStyle w:val="TableParagraph"/>
              <w:spacing w:before="59"/>
              <w:ind w:left="1973" w:right="1963"/>
              <w:jc w:val="center"/>
              <w:rPr>
                <w:sz w:val="20"/>
              </w:rPr>
            </w:pPr>
            <w:r>
              <w:rPr>
                <w:b/>
                <w:w w:val="95"/>
                <w:sz w:val="20"/>
              </w:rPr>
              <w:t>ABILIFY Mantenim</w:t>
            </w:r>
            <w:r>
              <w:rPr>
                <w:b/>
                <w:w w:val="95"/>
                <w:position w:val="7"/>
                <w:sz w:val="11"/>
              </w:rPr>
              <w:t>® </w:t>
            </w:r>
            <w:r>
              <w:rPr>
                <w:w w:val="95"/>
                <w:sz w:val="20"/>
              </w:rPr>
              <w:t>(A-BIL-i-fy principal-TEN-a)</w:t>
            </w:r>
          </w:p>
          <w:p>
            <w:pPr>
              <w:pStyle w:val="TableParagraph"/>
              <w:spacing w:before="30"/>
              <w:ind w:left="1973" w:right="1964"/>
              <w:jc w:val="center"/>
              <w:rPr>
                <w:b/>
                <w:sz w:val="20"/>
              </w:rPr>
            </w:pPr>
            <w:r>
              <w:rPr>
                <w:b/>
                <w:w w:val="90"/>
                <w:sz w:val="20"/>
              </w:rPr>
              <w:t>(Aripiprazol) para suspensión inyectable de liberación prolongada, para uso intramuscular</w:t>
            </w:r>
          </w:p>
        </w:tc>
      </w:tr>
      <w:tr>
        <w:trPr>
          <w:trHeight w:val="1392" w:hRule="atLeast"/>
        </w:trPr>
        <w:tc>
          <w:tcPr>
            <w:tcW w:w="10800" w:type="dxa"/>
          </w:tcPr>
          <w:p>
            <w:pPr>
              <w:pStyle w:val="TableParagraph"/>
              <w:spacing w:before="66"/>
              <w:ind w:left="143"/>
              <w:rPr>
                <w:b/>
                <w:sz w:val="20"/>
              </w:rPr>
            </w:pPr>
            <w:r>
              <w:rPr>
                <w:b/>
                <w:w w:val="95"/>
                <w:sz w:val="20"/>
              </w:rPr>
              <w:t>¿Cuál es la información más importante que debo saber sobre ABILIFY Mantenim?</w:t>
            </w:r>
          </w:p>
          <w:p>
            <w:pPr>
              <w:pStyle w:val="TableParagraph"/>
              <w:spacing w:before="42"/>
              <w:ind w:left="143"/>
              <w:rPr>
                <w:sz w:val="20"/>
              </w:rPr>
            </w:pPr>
            <w:r>
              <w:rPr>
                <w:sz w:val="20"/>
              </w:rPr>
              <w:t>Cada inyección de ABILIFY Mantenim debe ser administrado por un profesional de la salud solamente.</w:t>
            </w:r>
          </w:p>
          <w:p>
            <w:pPr>
              <w:pStyle w:val="TableParagraph"/>
              <w:spacing w:before="41"/>
              <w:ind w:left="143"/>
              <w:rPr>
                <w:b/>
                <w:sz w:val="20"/>
              </w:rPr>
            </w:pPr>
            <w:r>
              <w:rPr>
                <w:b/>
                <w:w w:val="95"/>
                <w:sz w:val="20"/>
              </w:rPr>
              <w:t>ABILIFY Mantenim puede causar efectos secundarios graves, incluyendo:</w:t>
            </w:r>
          </w:p>
          <w:p>
            <w:pPr>
              <w:pStyle w:val="TableParagraph"/>
              <w:numPr>
                <w:ilvl w:val="0"/>
                <w:numId w:val="29"/>
              </w:numPr>
              <w:tabs>
                <w:tab w:pos="503" w:val="left" w:leader="none"/>
                <w:tab w:pos="504" w:val="left" w:leader="none"/>
              </w:tabs>
              <w:spacing w:line="223" w:lineRule="auto" w:before="55" w:after="0"/>
              <w:ind w:left="504" w:right="131" w:hanging="360"/>
              <w:jc w:val="left"/>
              <w:rPr>
                <w:sz w:val="20"/>
              </w:rPr>
            </w:pPr>
            <w:r>
              <w:rPr>
                <w:b/>
                <w:w w:val="90"/>
                <w:sz w:val="20"/>
              </w:rPr>
              <w:t>Aumento del riesgo de muerte en personas de edad avanzada con psicosis relacionada con demencia. </w:t>
            </w:r>
            <w:r>
              <w:rPr>
                <w:w w:val="90"/>
                <w:sz w:val="20"/>
              </w:rPr>
              <w:t>ABILIFY Mantenim no es para el tratamiento de personas </w:t>
            </w:r>
            <w:r>
              <w:rPr>
                <w:sz w:val="20"/>
              </w:rPr>
              <w:t>que han perdido contacto con la realidad (psicosis) debido a la confusión y pérdida de memoria (demencia).</w:t>
            </w:r>
          </w:p>
        </w:tc>
      </w:tr>
      <w:tr>
        <w:trPr>
          <w:trHeight w:val="1407" w:hRule="atLeast"/>
        </w:trPr>
        <w:tc>
          <w:tcPr>
            <w:tcW w:w="10800" w:type="dxa"/>
          </w:tcPr>
          <w:p>
            <w:pPr>
              <w:pStyle w:val="TableParagraph"/>
              <w:spacing w:before="66"/>
              <w:ind w:left="143"/>
              <w:rPr>
                <w:b/>
                <w:sz w:val="20"/>
              </w:rPr>
            </w:pPr>
            <w:r>
              <w:rPr>
                <w:b/>
                <w:w w:val="95"/>
                <w:sz w:val="20"/>
              </w:rPr>
              <w:t>¿Qué es ABILIFY Mantenim?</w:t>
            </w:r>
          </w:p>
          <w:p>
            <w:pPr>
              <w:pStyle w:val="TableParagraph"/>
              <w:spacing w:before="42"/>
              <w:ind w:left="143"/>
              <w:rPr>
                <w:sz w:val="20"/>
              </w:rPr>
            </w:pPr>
            <w:r>
              <w:rPr>
                <w:sz w:val="20"/>
              </w:rPr>
              <w:t>ABILIFY Mantenim es un medicamento administrado mediante inyección por un profesional de la salud para:</w:t>
            </w:r>
          </w:p>
          <w:p>
            <w:pPr>
              <w:pStyle w:val="TableParagraph"/>
              <w:numPr>
                <w:ilvl w:val="0"/>
                <w:numId w:val="30"/>
              </w:numPr>
              <w:tabs>
                <w:tab w:pos="503" w:val="left" w:leader="none"/>
                <w:tab w:pos="504" w:val="left" w:leader="none"/>
              </w:tabs>
              <w:spacing w:line="240" w:lineRule="auto" w:before="12" w:after="0"/>
              <w:ind w:left="504" w:right="0" w:hanging="360"/>
              <w:jc w:val="left"/>
              <w:rPr>
                <w:sz w:val="20"/>
              </w:rPr>
            </w:pPr>
            <w:r>
              <w:rPr>
                <w:sz w:val="20"/>
              </w:rPr>
              <w:t>tratamiento de la esquizofrenia en adultos</w:t>
            </w:r>
          </w:p>
          <w:p>
            <w:pPr>
              <w:pStyle w:val="TableParagraph"/>
              <w:numPr>
                <w:ilvl w:val="0"/>
                <w:numId w:val="30"/>
              </w:numPr>
              <w:tabs>
                <w:tab w:pos="503" w:val="left" w:leader="none"/>
                <w:tab w:pos="504" w:val="left" w:leader="none"/>
              </w:tabs>
              <w:spacing w:line="240" w:lineRule="auto" w:before="13" w:after="0"/>
              <w:ind w:left="504" w:right="0" w:hanging="360"/>
              <w:jc w:val="left"/>
              <w:rPr>
                <w:sz w:val="20"/>
              </w:rPr>
            </w:pPr>
            <w:r>
              <w:rPr>
                <w:sz w:val="20"/>
              </w:rPr>
              <w:t>tratamiento de mantenimiento del trastorno bipolar I en adultos</w:t>
            </w:r>
          </w:p>
          <w:p>
            <w:pPr>
              <w:pStyle w:val="TableParagraph"/>
              <w:spacing w:before="56"/>
              <w:ind w:left="143"/>
              <w:rPr>
                <w:sz w:val="20"/>
              </w:rPr>
            </w:pPr>
            <w:r>
              <w:rPr>
                <w:sz w:val="20"/>
              </w:rPr>
              <w:t>No se sabe si ABILIFY Mantenim es segura y eficaz en niños menores de 18 años de edad.</w:t>
            </w:r>
          </w:p>
        </w:tc>
      </w:tr>
      <w:tr>
        <w:trPr>
          <w:trHeight w:val="577" w:hRule="atLeast"/>
        </w:trPr>
        <w:tc>
          <w:tcPr>
            <w:tcW w:w="10800" w:type="dxa"/>
          </w:tcPr>
          <w:p>
            <w:pPr>
              <w:pStyle w:val="TableParagraph"/>
              <w:spacing w:line="223" w:lineRule="auto" w:before="79"/>
              <w:ind w:left="143" w:right="120"/>
              <w:rPr>
                <w:sz w:val="20"/>
              </w:rPr>
            </w:pPr>
            <w:r>
              <w:rPr>
                <w:b/>
                <w:w w:val="90"/>
                <w:sz w:val="20"/>
              </w:rPr>
              <w:t>No reciba ABILIFY si Mantenim </w:t>
            </w:r>
            <w:r>
              <w:rPr>
                <w:w w:val="90"/>
                <w:sz w:val="20"/>
              </w:rPr>
              <w:t>es alérgico al aripiprazol o cualquiera de los ingredientes en ABILIFY Mantenim. Consulte el final de</w:t>
            </w:r>
            <w:r>
              <w:rPr>
                <w:sz w:val="20"/>
              </w:rPr>
              <w:t>esta Guía del medicamento para obtener una lista completa de ingredientes en ABILIFY Mantenim.</w:t>
            </w:r>
          </w:p>
        </w:tc>
      </w:tr>
      <w:tr>
        <w:trPr>
          <w:trHeight w:val="5360" w:hRule="atLeast"/>
        </w:trPr>
        <w:tc>
          <w:tcPr>
            <w:tcW w:w="10800" w:type="dxa"/>
          </w:tcPr>
          <w:p>
            <w:pPr>
              <w:pStyle w:val="TableParagraph"/>
              <w:spacing w:before="66"/>
              <w:ind w:left="143"/>
              <w:rPr>
                <w:sz w:val="20"/>
              </w:rPr>
            </w:pPr>
            <w:r>
              <w:rPr>
                <w:b/>
                <w:sz w:val="20"/>
              </w:rPr>
              <w:t>Antes de recibir ABILIFY Mantenim, informe a su proveedor de atención médica </w:t>
            </w:r>
            <w:r>
              <w:rPr>
                <w:sz w:val="20"/>
              </w:rPr>
              <w:t>acerca de todas sus condiciones médicas, incluyendo si usted:</w:t>
            </w:r>
          </w:p>
          <w:p>
            <w:pPr>
              <w:pStyle w:val="TableParagraph"/>
              <w:numPr>
                <w:ilvl w:val="0"/>
                <w:numId w:val="31"/>
              </w:numPr>
              <w:tabs>
                <w:tab w:pos="503" w:val="left" w:leader="none"/>
                <w:tab w:pos="504" w:val="left" w:leader="none"/>
              </w:tabs>
              <w:spacing w:line="240" w:lineRule="auto" w:before="13" w:after="0"/>
              <w:ind w:left="504" w:right="0" w:hanging="361"/>
              <w:jc w:val="left"/>
              <w:rPr>
                <w:sz w:val="20"/>
              </w:rPr>
            </w:pPr>
            <w:r>
              <w:rPr>
                <w:w w:val="95"/>
                <w:sz w:val="20"/>
              </w:rPr>
              <w:t>nunca han tomado antes de aripiprazol</w:t>
            </w:r>
          </w:p>
          <w:p>
            <w:pPr>
              <w:pStyle w:val="TableParagraph"/>
              <w:numPr>
                <w:ilvl w:val="0"/>
                <w:numId w:val="31"/>
              </w:numPr>
              <w:tabs>
                <w:tab w:pos="503" w:val="left" w:leader="none"/>
                <w:tab w:pos="504" w:val="left" w:leader="none"/>
              </w:tabs>
              <w:spacing w:line="223" w:lineRule="auto" w:before="26" w:after="0"/>
              <w:ind w:left="504" w:right="132" w:hanging="360"/>
              <w:jc w:val="left"/>
              <w:rPr>
                <w:sz w:val="20"/>
              </w:rPr>
            </w:pPr>
            <w:r>
              <w:rPr>
                <w:w w:val="95"/>
                <w:sz w:val="20"/>
              </w:rPr>
              <w:t>tiene diabetes o azúcar en la sangre o antecedentes familiares de diabetes o azúcar en la sangre. Su médico debe revisar su</w:t>
            </w:r>
            <w:r>
              <w:rPr>
                <w:sz w:val="20"/>
              </w:rPr>
              <w:t>azúcar en la sangre antes de que empiece a recibir ABILIFY Mantenim y durante su tratamiento.</w:t>
            </w:r>
          </w:p>
          <w:p>
            <w:pPr>
              <w:pStyle w:val="TableParagraph"/>
              <w:numPr>
                <w:ilvl w:val="0"/>
                <w:numId w:val="31"/>
              </w:numPr>
              <w:tabs>
                <w:tab w:pos="503" w:val="left" w:leader="none"/>
                <w:tab w:pos="504" w:val="left" w:leader="none"/>
              </w:tabs>
              <w:spacing w:line="240" w:lineRule="auto" w:before="16" w:after="0"/>
              <w:ind w:left="504" w:right="0" w:hanging="360"/>
              <w:jc w:val="left"/>
              <w:rPr>
                <w:sz w:val="20"/>
              </w:rPr>
            </w:pPr>
            <w:r>
              <w:rPr>
                <w:sz w:val="20"/>
              </w:rPr>
              <w:t>tener o convulsiones tenido (convulsiones)</w:t>
            </w:r>
          </w:p>
          <w:p>
            <w:pPr>
              <w:pStyle w:val="TableParagraph"/>
              <w:numPr>
                <w:ilvl w:val="0"/>
                <w:numId w:val="31"/>
              </w:numPr>
              <w:tabs>
                <w:tab w:pos="503" w:val="left" w:leader="none"/>
                <w:tab w:pos="504" w:val="left" w:leader="none"/>
              </w:tabs>
              <w:spacing w:line="240" w:lineRule="auto" w:before="12" w:after="0"/>
              <w:ind w:left="504" w:right="0" w:hanging="360"/>
              <w:jc w:val="left"/>
              <w:rPr>
                <w:sz w:val="20"/>
              </w:rPr>
            </w:pPr>
            <w:r>
              <w:rPr>
                <w:w w:val="95"/>
                <w:sz w:val="20"/>
              </w:rPr>
              <w:t>tiene o ha tenido presión sanguínea alta o baja</w:t>
            </w:r>
          </w:p>
          <w:p>
            <w:pPr>
              <w:pStyle w:val="TableParagraph"/>
              <w:numPr>
                <w:ilvl w:val="0"/>
                <w:numId w:val="31"/>
              </w:numPr>
              <w:tabs>
                <w:tab w:pos="503" w:val="left" w:leader="none"/>
                <w:tab w:pos="504" w:val="left" w:leader="none"/>
              </w:tabs>
              <w:spacing w:line="240" w:lineRule="auto" w:before="13" w:after="0"/>
              <w:ind w:left="504" w:right="0" w:hanging="360"/>
              <w:jc w:val="left"/>
              <w:rPr>
                <w:sz w:val="20"/>
              </w:rPr>
            </w:pPr>
            <w:r>
              <w:rPr>
                <w:w w:val="95"/>
                <w:sz w:val="20"/>
              </w:rPr>
              <w:t>tener o problemas del corazón o un derrame cerebral tenido</w:t>
            </w:r>
          </w:p>
          <w:p>
            <w:pPr>
              <w:pStyle w:val="TableParagraph"/>
              <w:numPr>
                <w:ilvl w:val="0"/>
                <w:numId w:val="31"/>
              </w:numPr>
              <w:tabs>
                <w:tab w:pos="503" w:val="left" w:leader="none"/>
                <w:tab w:pos="504" w:val="left" w:leader="none"/>
              </w:tabs>
              <w:spacing w:line="240" w:lineRule="auto" w:before="13" w:after="0"/>
              <w:ind w:left="504" w:right="0" w:hanging="360"/>
              <w:jc w:val="left"/>
              <w:rPr>
                <w:sz w:val="20"/>
              </w:rPr>
            </w:pPr>
            <w:r>
              <w:rPr>
                <w:sz w:val="20"/>
              </w:rPr>
              <w:t>tiene o ha tenido un recuento bajo de glóbulos blancos</w:t>
            </w:r>
          </w:p>
          <w:p>
            <w:pPr>
              <w:pStyle w:val="TableParagraph"/>
              <w:numPr>
                <w:ilvl w:val="0"/>
                <w:numId w:val="31"/>
              </w:numPr>
              <w:tabs>
                <w:tab w:pos="503" w:val="left" w:leader="none"/>
                <w:tab w:pos="504" w:val="left" w:leader="none"/>
              </w:tabs>
              <w:spacing w:line="240" w:lineRule="auto" w:before="13" w:after="0"/>
              <w:ind w:left="504" w:right="0" w:hanging="360"/>
              <w:jc w:val="left"/>
              <w:rPr>
                <w:sz w:val="20"/>
              </w:rPr>
            </w:pPr>
            <w:r>
              <w:rPr>
                <w:sz w:val="20"/>
              </w:rPr>
              <w:t>tienen problemas que pueden afectar a usted recibir una inyección en el brazo o las nalgas</w:t>
            </w:r>
          </w:p>
          <w:p>
            <w:pPr>
              <w:pStyle w:val="TableParagraph"/>
              <w:numPr>
                <w:ilvl w:val="0"/>
                <w:numId w:val="31"/>
              </w:numPr>
              <w:tabs>
                <w:tab w:pos="503" w:val="left" w:leader="none"/>
                <w:tab w:pos="504" w:val="left" w:leader="none"/>
              </w:tabs>
              <w:spacing w:line="240" w:lineRule="auto" w:before="13" w:after="0"/>
              <w:ind w:left="504" w:right="0" w:hanging="360"/>
              <w:jc w:val="left"/>
              <w:rPr>
                <w:sz w:val="20"/>
              </w:rPr>
            </w:pPr>
            <w:r>
              <w:rPr>
                <w:sz w:val="20"/>
              </w:rPr>
              <w:t>si está embarazada o planea quedar embarazada. No se sabe si será ABILIFY Mantenim dañar al feto.</w:t>
            </w:r>
          </w:p>
          <w:p>
            <w:pPr>
              <w:pStyle w:val="TableParagraph"/>
              <w:tabs>
                <w:tab w:pos="863" w:val="left" w:leader="none"/>
              </w:tabs>
              <w:spacing w:line="148" w:lineRule="auto" w:before="100"/>
              <w:ind w:left="863" w:right="128" w:hanging="360"/>
              <w:rPr>
                <w:sz w:val="20"/>
              </w:rPr>
            </w:pPr>
            <w:r>
              <w:rPr>
                <w:position w:val="-9"/>
                <w:sz w:val="28"/>
              </w:rPr>
              <w:t>°</w:t>
              <w:tab/>
            </w:r>
            <w:r>
              <w:rPr>
                <w:sz w:val="20"/>
              </w:rPr>
              <w:t>Si queda embarazada mientras recibe ABILIFY Mantenim, hable con su proveedor de atención médica acerca de la inscripción en el Registro Nacional de embarazo por antipsicóticos atípicos. Puede registrarse llamando al 1-866-961-2388 o visite</w:t>
            </w:r>
          </w:p>
          <w:p>
            <w:pPr>
              <w:pStyle w:val="TableParagraph"/>
              <w:spacing w:line="229" w:lineRule="exact"/>
              <w:ind w:left="863"/>
              <w:rPr>
                <w:sz w:val="20"/>
              </w:rPr>
            </w:pPr>
            <w:hyperlink r:id="rId28">
              <w:r>
                <w:rPr>
                  <w:sz w:val="20"/>
                </w:rPr>
                <w:t>http://womensmentalhealth.org/clinical-and-research-programs/pregnancyregistry/</w:t>
              </w:r>
            </w:hyperlink>
          </w:p>
          <w:p>
            <w:pPr>
              <w:pStyle w:val="TableParagraph"/>
              <w:numPr>
                <w:ilvl w:val="0"/>
                <w:numId w:val="31"/>
              </w:numPr>
              <w:tabs>
                <w:tab w:pos="503" w:val="left" w:leader="none"/>
                <w:tab w:pos="504" w:val="left" w:leader="none"/>
              </w:tabs>
              <w:spacing w:line="223" w:lineRule="auto" w:before="26" w:after="0"/>
              <w:ind w:left="504" w:right="132" w:hanging="360"/>
              <w:jc w:val="left"/>
              <w:rPr>
                <w:sz w:val="20"/>
              </w:rPr>
            </w:pPr>
            <w:r>
              <w:rPr>
                <w:w w:val="90"/>
                <w:sz w:val="20"/>
              </w:rPr>
              <w:t>en período de lactancia o un plan para amamantar. ABILIFY Mantenim puede pasar a la leche materna y puede dañar a su bebé. Habla a tú</w:t>
            </w:r>
            <w:r>
              <w:rPr>
                <w:sz w:val="20"/>
              </w:rPr>
              <w:t>profesional de la salud sobre la mejor manera de alimentar a su bebé si recibe ABILIFY Mantenim.</w:t>
            </w:r>
          </w:p>
          <w:p>
            <w:pPr>
              <w:pStyle w:val="TableParagraph"/>
              <w:spacing w:line="223" w:lineRule="auto" w:before="74"/>
              <w:ind w:left="143" w:right="52"/>
              <w:rPr>
                <w:sz w:val="20"/>
              </w:rPr>
            </w:pPr>
            <w:r>
              <w:rPr>
                <w:b/>
                <w:w w:val="90"/>
                <w:sz w:val="20"/>
              </w:rPr>
              <w:t>Informe a su médico acerca de todos los medicamentos que toma, </w:t>
            </w:r>
            <w:r>
              <w:rPr>
                <w:w w:val="90"/>
                <w:sz w:val="20"/>
              </w:rPr>
              <w:t>incluidos los medicamentos de venta con receta y medicamentos de venta libre, </w:t>
            </w:r>
            <w:r>
              <w:rPr>
                <w:sz w:val="20"/>
              </w:rPr>
              <w:t>vitaminas y suplementos de hierbas.</w:t>
            </w:r>
          </w:p>
          <w:p>
            <w:pPr>
              <w:pStyle w:val="TableParagraph"/>
              <w:spacing w:line="223" w:lineRule="auto" w:before="58"/>
              <w:ind w:left="143" w:right="124"/>
              <w:rPr>
                <w:sz w:val="20"/>
              </w:rPr>
            </w:pPr>
            <w:r>
              <w:rPr>
                <w:w w:val="90"/>
                <w:sz w:val="20"/>
              </w:rPr>
              <w:t>ABILIFY Mantenim y otros medicamentos pueden afectar el uno al otro los posibles efectos secundarios graves que causan. ABILIFY Mantenim puede afectar</w:t>
            </w:r>
            <w:r>
              <w:rPr>
                <w:sz w:val="20"/>
              </w:rPr>
              <w:t>la forma en que actúan otros medicamentos, y otros medicamentos pueden afectar el funcionamiento de ABILIFY Mantenim.</w:t>
            </w:r>
          </w:p>
          <w:p>
            <w:pPr>
              <w:pStyle w:val="TableParagraph"/>
              <w:spacing w:line="223" w:lineRule="auto" w:before="58"/>
              <w:ind w:left="143" w:right="131"/>
              <w:jc w:val="both"/>
              <w:rPr>
                <w:sz w:val="20"/>
              </w:rPr>
            </w:pPr>
            <w:r>
              <w:rPr>
                <w:spacing w:val="-3"/>
                <w:w w:val="95"/>
                <w:sz w:val="20"/>
              </w:rPr>
              <w:t>Tu </w:t>
            </w:r>
            <w:r>
              <w:rPr>
                <w:w w:val="95"/>
                <w:sz w:val="20"/>
              </w:rPr>
              <w:t>profesional de la salud le puede decir si es seguro para recibir ABILIFY Mantenim con sus otros medicamentos. No iniciar o detener cualquier medicamento durante el tratamiento con aripiprazol Mantenim sin consultar a su proveedor de atención médica. Conozca los medicamentos que toma.</w:t>
            </w:r>
            <w:r>
              <w:rPr>
                <w:sz w:val="20"/>
              </w:rPr>
              <w:t>Mantenga una lista de ellos para mostrar su profesional de la salud y farmacéutico cuando reciba un nuevo medicamento.</w:t>
            </w:r>
          </w:p>
        </w:tc>
      </w:tr>
      <w:tr>
        <w:trPr>
          <w:trHeight w:val="1791" w:hRule="atLeast"/>
        </w:trPr>
        <w:tc>
          <w:tcPr>
            <w:tcW w:w="10800" w:type="dxa"/>
          </w:tcPr>
          <w:p>
            <w:pPr>
              <w:pStyle w:val="TableParagraph"/>
              <w:spacing w:before="66"/>
              <w:ind w:left="143"/>
              <w:rPr>
                <w:b/>
                <w:sz w:val="20"/>
              </w:rPr>
            </w:pPr>
            <w:r>
              <w:rPr>
                <w:b/>
                <w:w w:val="95"/>
                <w:sz w:val="20"/>
              </w:rPr>
              <w:t>¿Cómo debería recibir ABILIFY Mantenim?</w:t>
            </w:r>
          </w:p>
          <w:p>
            <w:pPr>
              <w:pStyle w:val="TableParagraph"/>
              <w:numPr>
                <w:ilvl w:val="0"/>
                <w:numId w:val="32"/>
              </w:numPr>
              <w:tabs>
                <w:tab w:pos="503" w:val="left" w:leader="none"/>
                <w:tab w:pos="504" w:val="left" w:leader="none"/>
              </w:tabs>
              <w:spacing w:line="240" w:lineRule="auto" w:before="42" w:after="0"/>
              <w:ind w:left="504" w:right="0" w:hanging="360"/>
              <w:jc w:val="left"/>
              <w:rPr>
                <w:sz w:val="20"/>
              </w:rPr>
            </w:pPr>
            <w:r>
              <w:rPr>
                <w:sz w:val="20"/>
              </w:rPr>
              <w:t>Siga su plan de tratamiento ABILIFY Mantenim exactamente como su médico se lo indique.</w:t>
            </w:r>
          </w:p>
          <w:p>
            <w:pPr>
              <w:pStyle w:val="TableParagraph"/>
              <w:numPr>
                <w:ilvl w:val="0"/>
                <w:numId w:val="32"/>
              </w:numPr>
              <w:tabs>
                <w:tab w:pos="503" w:val="left" w:leader="none"/>
                <w:tab w:pos="504" w:val="left" w:leader="none"/>
              </w:tabs>
              <w:spacing w:line="223" w:lineRule="auto" w:before="25" w:after="0"/>
              <w:ind w:left="504" w:right="131" w:hanging="360"/>
              <w:jc w:val="left"/>
              <w:rPr>
                <w:sz w:val="20"/>
              </w:rPr>
            </w:pPr>
            <w:r>
              <w:rPr>
                <w:w w:val="95"/>
                <w:sz w:val="20"/>
              </w:rPr>
              <w:t>ABILIFY Mantenim es una inyección que se aplica en el brazo o la nalga por su tiempo profesional de la salud todos los meses 1. Usted puede sentir una</w:t>
            </w:r>
            <w:r>
              <w:rPr>
                <w:sz w:val="20"/>
              </w:rPr>
              <w:t>poco de dolor en el brazo o la nalga durante su inyección.</w:t>
            </w:r>
          </w:p>
          <w:p>
            <w:pPr>
              <w:pStyle w:val="TableParagraph"/>
              <w:numPr>
                <w:ilvl w:val="0"/>
                <w:numId w:val="32"/>
              </w:numPr>
              <w:tabs>
                <w:tab w:pos="503" w:val="left" w:leader="none"/>
                <w:tab w:pos="504" w:val="left" w:leader="none"/>
              </w:tabs>
              <w:spacing w:line="240" w:lineRule="auto" w:before="16" w:after="0"/>
              <w:ind w:left="504" w:right="0" w:hanging="360"/>
              <w:jc w:val="left"/>
              <w:rPr>
                <w:sz w:val="20"/>
              </w:rPr>
            </w:pPr>
            <w:r>
              <w:rPr>
                <w:sz w:val="20"/>
              </w:rPr>
              <w:t>Después de su primera inyección de ABILIFY Mantenim continúe con su actual medicamento antipsicótico durante 2 semanas.</w:t>
            </w:r>
          </w:p>
          <w:p>
            <w:pPr>
              <w:pStyle w:val="TableParagraph"/>
              <w:numPr>
                <w:ilvl w:val="0"/>
                <w:numId w:val="32"/>
              </w:numPr>
              <w:tabs>
                <w:tab w:pos="503" w:val="left" w:leader="none"/>
                <w:tab w:pos="504" w:val="left" w:leader="none"/>
              </w:tabs>
              <w:spacing w:line="223" w:lineRule="auto" w:before="26" w:after="0"/>
              <w:ind w:left="504" w:right="131" w:hanging="360"/>
              <w:jc w:val="left"/>
              <w:rPr>
                <w:sz w:val="20"/>
              </w:rPr>
            </w:pPr>
            <w:r>
              <w:rPr>
                <w:spacing w:val="-4"/>
                <w:w w:val="95"/>
                <w:sz w:val="20"/>
              </w:rPr>
              <w:t>Tú </w:t>
            </w:r>
            <w:r>
              <w:rPr>
                <w:w w:val="95"/>
                <w:sz w:val="20"/>
              </w:rPr>
              <w:t>no debe faltar una dosis de ABILIFY Mantenim. Si se olvida una dosis, por alguna razón, llame a su proveedor de atención médica de inmediato para discutir lo que debe hacer a continuación.</w:t>
            </w:r>
          </w:p>
        </w:tc>
      </w:tr>
      <w:tr>
        <w:trPr>
          <w:trHeight w:val="2477" w:hRule="atLeast"/>
        </w:trPr>
        <w:tc>
          <w:tcPr>
            <w:tcW w:w="10800" w:type="dxa"/>
          </w:tcPr>
          <w:p>
            <w:pPr>
              <w:pStyle w:val="TableParagraph"/>
              <w:spacing w:before="66"/>
              <w:ind w:left="143"/>
              <w:rPr>
                <w:b/>
                <w:sz w:val="20"/>
              </w:rPr>
            </w:pPr>
            <w:r>
              <w:rPr>
                <w:b/>
                <w:w w:val="95"/>
                <w:sz w:val="20"/>
              </w:rPr>
              <w:t>¿Qué debo evitar mientras recibo ABILIFY Mantenim?</w:t>
            </w:r>
          </w:p>
          <w:p>
            <w:pPr>
              <w:pStyle w:val="TableParagraph"/>
              <w:numPr>
                <w:ilvl w:val="0"/>
                <w:numId w:val="33"/>
              </w:numPr>
              <w:tabs>
                <w:tab w:pos="503" w:val="left" w:leader="none"/>
                <w:tab w:pos="504" w:val="left" w:leader="none"/>
              </w:tabs>
              <w:spacing w:line="223" w:lineRule="auto" w:before="26" w:after="0"/>
              <w:ind w:left="504" w:right="130" w:hanging="360"/>
              <w:jc w:val="left"/>
              <w:rPr>
                <w:sz w:val="20"/>
              </w:rPr>
            </w:pPr>
            <w:r>
              <w:rPr>
                <w:sz w:val="20"/>
              </w:rPr>
              <w:t>No conducir, manejar maquinaria, o hacer otras actividades peligrosas hasta que sepa cómo le afecta ABILIFY Mantenim. ABILIFY Mantenim puede producir somnolencia.</w:t>
            </w:r>
          </w:p>
          <w:p>
            <w:pPr>
              <w:pStyle w:val="TableParagraph"/>
              <w:numPr>
                <w:ilvl w:val="0"/>
                <w:numId w:val="33"/>
              </w:numPr>
              <w:tabs>
                <w:tab w:pos="503" w:val="left" w:leader="none"/>
                <w:tab w:pos="504" w:val="left" w:leader="none"/>
              </w:tabs>
              <w:spacing w:line="229" w:lineRule="exact" w:before="1" w:after="0"/>
              <w:ind w:left="504" w:right="0" w:hanging="360"/>
              <w:jc w:val="left"/>
              <w:rPr>
                <w:sz w:val="20"/>
              </w:rPr>
            </w:pPr>
            <w:r>
              <w:rPr>
                <w:sz w:val="20"/>
              </w:rPr>
              <w:t>No beba alcohol mientras recibe ABILIFY Mantenim.</w:t>
            </w:r>
          </w:p>
          <w:p>
            <w:pPr>
              <w:pStyle w:val="TableParagraph"/>
              <w:numPr>
                <w:ilvl w:val="0"/>
                <w:numId w:val="33"/>
              </w:numPr>
              <w:tabs>
                <w:tab w:pos="503" w:val="left" w:leader="none"/>
                <w:tab w:pos="504" w:val="left" w:leader="none"/>
              </w:tabs>
              <w:spacing w:line="229" w:lineRule="exact" w:before="0" w:after="0"/>
              <w:ind w:left="504" w:right="0" w:hanging="360"/>
              <w:jc w:val="left"/>
              <w:rPr>
                <w:sz w:val="20"/>
              </w:rPr>
            </w:pPr>
            <w:r>
              <w:rPr>
                <w:sz w:val="20"/>
              </w:rPr>
              <w:t>No se convierta en demasiado caliente o deshidratarse mientras recibe ABILIFY Mantenim.</w:t>
            </w:r>
          </w:p>
          <w:p>
            <w:pPr>
              <w:pStyle w:val="TableParagraph"/>
              <w:tabs>
                <w:tab w:pos="863" w:val="left" w:leader="none"/>
              </w:tabs>
              <w:spacing w:line="283" w:lineRule="exact" w:before="10"/>
              <w:ind w:left="503"/>
              <w:rPr>
                <w:sz w:val="20"/>
              </w:rPr>
            </w:pPr>
            <w:r>
              <w:rPr>
                <w:position w:val="-7"/>
                <w:sz w:val="28"/>
              </w:rPr>
              <w:t>°</w:t>
              <w:tab/>
            </w:r>
            <w:r>
              <w:rPr>
                <w:sz w:val="20"/>
              </w:rPr>
              <w:t>No haga ejercicio demasiado.</w:t>
            </w:r>
          </w:p>
          <w:p>
            <w:pPr>
              <w:pStyle w:val="TableParagraph"/>
              <w:tabs>
                <w:tab w:pos="863" w:val="left" w:leader="none"/>
              </w:tabs>
              <w:spacing w:line="240" w:lineRule="exact"/>
              <w:ind w:left="503"/>
              <w:rPr>
                <w:sz w:val="20"/>
              </w:rPr>
            </w:pPr>
            <w:r>
              <w:rPr>
                <w:position w:val="-7"/>
                <w:sz w:val="28"/>
              </w:rPr>
              <w:t>°</w:t>
              <w:tab/>
            </w:r>
            <w:r>
              <w:rPr>
                <w:sz w:val="20"/>
              </w:rPr>
              <w:t>Cuando hace calor, permanecer en el interior en un lugar fresco si es posible.</w:t>
            </w:r>
          </w:p>
          <w:p>
            <w:pPr>
              <w:pStyle w:val="TableParagraph"/>
              <w:tabs>
                <w:tab w:pos="863" w:val="left" w:leader="none"/>
              </w:tabs>
              <w:spacing w:line="240" w:lineRule="exact"/>
              <w:ind w:left="503"/>
              <w:rPr>
                <w:sz w:val="20"/>
              </w:rPr>
            </w:pPr>
            <w:r>
              <w:rPr>
                <w:position w:val="-7"/>
                <w:sz w:val="28"/>
              </w:rPr>
              <w:t>°</w:t>
              <w:tab/>
            </w:r>
            <w:r>
              <w:rPr>
                <w:sz w:val="20"/>
              </w:rPr>
              <w:t>Mantente alejado de el sol.</w:t>
            </w:r>
          </w:p>
          <w:p>
            <w:pPr>
              <w:pStyle w:val="TableParagraph"/>
              <w:tabs>
                <w:tab w:pos="863" w:val="left" w:leader="none"/>
              </w:tabs>
              <w:spacing w:line="240" w:lineRule="exact"/>
              <w:ind w:left="503"/>
              <w:rPr>
                <w:sz w:val="20"/>
              </w:rPr>
            </w:pPr>
            <w:r>
              <w:rPr>
                <w:position w:val="-7"/>
                <w:sz w:val="28"/>
              </w:rPr>
              <w:t>°</w:t>
              <w:tab/>
            </w:r>
            <w:r>
              <w:rPr>
                <w:sz w:val="20"/>
              </w:rPr>
              <w:t>No use demasiada ropa o ropa pesada.</w:t>
            </w:r>
          </w:p>
          <w:p>
            <w:pPr>
              <w:pStyle w:val="TableParagraph"/>
              <w:tabs>
                <w:tab w:pos="863" w:val="left" w:leader="none"/>
              </w:tabs>
              <w:spacing w:line="234" w:lineRule="exact"/>
              <w:ind w:left="503"/>
              <w:rPr>
                <w:sz w:val="20"/>
              </w:rPr>
            </w:pPr>
            <w:r>
              <w:rPr>
                <w:position w:val="-7"/>
                <w:sz w:val="28"/>
              </w:rPr>
              <w:t>°</w:t>
              <w:tab/>
            </w:r>
            <w:r>
              <w:rPr>
                <w:sz w:val="20"/>
              </w:rPr>
              <w:t>Beber abundante agua.</w:t>
            </w:r>
          </w:p>
        </w:tc>
      </w:tr>
    </w:tbl>
    <w:p>
      <w:pPr>
        <w:spacing w:after="0" w:line="234" w:lineRule="exact"/>
        <w:rPr>
          <w:sz w:val="20"/>
        </w:rPr>
        <w:sectPr>
          <w:headerReference w:type="default" r:id="rId76"/>
          <w:footerReference w:type="default" r:id="rId77"/>
          <w:pgSz w:w="12240" w:h="15840"/>
          <w:pgMar w:header="0" w:footer="378" w:top="720" w:bottom="560" w:left="580" w:right="0"/>
          <w:pgNumType w:start="15"/>
        </w:sectPr>
      </w:pPr>
    </w:p>
    <w:p>
      <w:pPr>
        <w:pStyle w:val="Heading3"/>
        <w:spacing w:before="84"/>
      </w:pPr>
      <w:r>
        <w:rPr>
          <w:w w:val="85"/>
        </w:rPr>
        <w:t>ABILIFY MAINTENA® (aripiprazol)</w:t>
      </w:r>
    </w:p>
    <w:p>
      <w:pPr>
        <w:pStyle w:val="BodyText"/>
        <w:spacing w:before="5"/>
        <w:rPr>
          <w:b/>
          <w:sz w:val="18"/>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0"/>
      </w:tblGrid>
      <w:tr>
        <w:trPr>
          <w:trHeight w:val="9523" w:hRule="atLeast"/>
        </w:trPr>
        <w:tc>
          <w:tcPr>
            <w:tcW w:w="10800" w:type="dxa"/>
          </w:tcPr>
          <w:p>
            <w:pPr>
              <w:pStyle w:val="TableParagraph"/>
              <w:spacing w:line="254" w:lineRule="auto" w:before="95"/>
              <w:ind w:left="144" w:right="5562"/>
              <w:rPr>
                <w:b/>
                <w:sz w:val="20"/>
              </w:rPr>
            </w:pPr>
            <w:r>
              <w:rPr>
                <w:b/>
                <w:w w:val="90"/>
                <w:sz w:val="20"/>
              </w:rPr>
              <w:t>¿Cuáles son los posibles efectos secundarios de ABILIFY Mantenim? ABILIFY Mantenim puede causar efectos secundarios graves, incluyendo:</w:t>
            </w:r>
          </w:p>
          <w:p>
            <w:pPr>
              <w:pStyle w:val="TableParagraph"/>
              <w:numPr>
                <w:ilvl w:val="0"/>
                <w:numId w:val="34"/>
              </w:numPr>
              <w:tabs>
                <w:tab w:pos="503" w:val="left" w:leader="none"/>
                <w:tab w:pos="504" w:val="left" w:leader="none"/>
              </w:tabs>
              <w:spacing w:line="228" w:lineRule="exact" w:before="0" w:after="0"/>
              <w:ind w:left="494" w:right="0" w:hanging="350"/>
              <w:jc w:val="left"/>
              <w:rPr>
                <w:b/>
                <w:sz w:val="20"/>
              </w:rPr>
            </w:pPr>
            <w:r>
              <w:rPr>
                <w:b/>
                <w:w w:val="95"/>
                <w:sz w:val="20"/>
              </w:rPr>
              <w:t>Consulte “¿Cuál es la información más importante que debo saber sobre ABILIFY Mantenim?”</w:t>
            </w:r>
          </w:p>
          <w:p>
            <w:pPr>
              <w:pStyle w:val="TableParagraph"/>
              <w:numPr>
                <w:ilvl w:val="0"/>
                <w:numId w:val="34"/>
              </w:numPr>
              <w:tabs>
                <w:tab w:pos="503" w:val="left" w:leader="none"/>
                <w:tab w:pos="504" w:val="left" w:leader="none"/>
              </w:tabs>
              <w:spacing w:line="240" w:lineRule="auto" w:before="13" w:after="0"/>
              <w:ind w:left="494" w:right="0" w:hanging="350"/>
              <w:jc w:val="left"/>
              <w:rPr>
                <w:b/>
                <w:sz w:val="20"/>
              </w:rPr>
            </w:pPr>
            <w:r>
              <w:rPr>
                <w:b/>
                <w:w w:val="95"/>
                <w:sz w:val="20"/>
              </w:rPr>
              <w:t>Accidente cerebrovascular (problemas cerebrovasculares) en ancianos con psicosis relacionada con demencia que pueden conducir a la muerte.</w:t>
            </w:r>
          </w:p>
          <w:p>
            <w:pPr>
              <w:pStyle w:val="TableParagraph"/>
              <w:numPr>
                <w:ilvl w:val="0"/>
                <w:numId w:val="34"/>
              </w:numPr>
              <w:tabs>
                <w:tab w:pos="503" w:val="left" w:leader="none"/>
                <w:tab w:pos="504" w:val="left" w:leader="none"/>
              </w:tabs>
              <w:spacing w:line="223" w:lineRule="auto" w:before="25" w:after="0"/>
              <w:ind w:left="494" w:right="133" w:hanging="350"/>
              <w:jc w:val="left"/>
              <w:rPr>
                <w:sz w:val="20"/>
              </w:rPr>
            </w:pPr>
            <w:r>
              <w:rPr>
                <w:b/>
                <w:w w:val="90"/>
                <w:sz w:val="20"/>
              </w:rPr>
              <w:t>El síndrome neuroléptico maligno (SNM), una condición grave que puede conducir a la muerte. </w:t>
            </w:r>
            <w:r>
              <w:rPr>
                <w:w w:val="90"/>
                <w:sz w:val="20"/>
              </w:rPr>
              <w:t>Llame a su médico o vaya a la sala de urgencias más cercana si tiene algunos o todos de los siguientes síntomas de SNM:</w:t>
            </w:r>
          </w:p>
          <w:p>
            <w:pPr>
              <w:pStyle w:val="TableParagraph"/>
              <w:tabs>
                <w:tab w:pos="863" w:val="left" w:leader="none"/>
                <w:tab w:pos="6123" w:val="left" w:leader="none"/>
                <w:tab w:pos="6623" w:val="left" w:leader="none"/>
              </w:tabs>
              <w:spacing w:line="258" w:lineRule="exact"/>
              <w:ind w:left="504"/>
              <w:rPr>
                <w:sz w:val="20"/>
              </w:rPr>
            </w:pPr>
            <w:r>
              <w:rPr>
                <w:position w:val="-7"/>
                <w:sz w:val="28"/>
              </w:rPr>
              <w:t>°</w:t>
              <w:tab/>
            </w:r>
            <w:r>
              <w:rPr>
                <w:sz w:val="20"/>
              </w:rPr>
              <w:t>alto </w:t>
            </w:r>
            <w:r>
              <w:rPr>
                <w:sz w:val="20"/>
              </w:rPr>
              <w:t>fiebre</w:t>
              <w:tab/>
            </w:r>
            <w:r>
              <w:rPr>
                <w:position w:val="-7"/>
                <w:sz w:val="28"/>
              </w:rPr>
              <w:t>°</w:t>
              <w:tab/>
            </w:r>
            <w:r>
              <w:rPr>
                <w:sz w:val="20"/>
              </w:rPr>
              <w:t>rigidez muscular</w:t>
            </w:r>
          </w:p>
          <w:p>
            <w:pPr>
              <w:pStyle w:val="TableParagraph"/>
              <w:tabs>
                <w:tab w:pos="863" w:val="left" w:leader="none"/>
                <w:tab w:pos="6123" w:val="left" w:leader="none"/>
                <w:tab w:pos="6623" w:val="left" w:leader="none"/>
              </w:tabs>
              <w:spacing w:line="117" w:lineRule="auto" w:before="35"/>
              <w:ind w:left="504"/>
              <w:rPr>
                <w:sz w:val="20"/>
              </w:rPr>
            </w:pPr>
            <w:r>
              <w:rPr>
                <w:position w:val="-7"/>
                <w:sz w:val="28"/>
              </w:rPr>
              <w:t>°</w:t>
              <w:tab/>
            </w:r>
            <w:r>
              <w:rPr>
                <w:sz w:val="20"/>
              </w:rPr>
              <w:t>Confusión</w:t>
              <w:tab/>
            </w:r>
            <w:r>
              <w:rPr>
                <w:position w:val="-7"/>
                <w:sz w:val="28"/>
              </w:rPr>
              <w:t>°</w:t>
              <w:tab/>
            </w:r>
            <w:r>
              <w:rPr>
                <w:sz w:val="20"/>
              </w:rPr>
              <w:t>transpiración</w:t>
            </w:r>
          </w:p>
          <w:p>
            <w:pPr>
              <w:pStyle w:val="TableParagraph"/>
              <w:tabs>
                <w:tab w:pos="863" w:val="left" w:leader="none"/>
              </w:tabs>
              <w:spacing w:line="256" w:lineRule="exact"/>
              <w:ind w:left="504"/>
              <w:rPr>
                <w:sz w:val="20"/>
              </w:rPr>
            </w:pPr>
            <w:r>
              <w:rPr>
                <w:position w:val="-7"/>
                <w:sz w:val="28"/>
              </w:rPr>
              <w:t>°</w:t>
              <w:tab/>
            </w:r>
            <w:r>
              <w:rPr>
                <w:sz w:val="20"/>
              </w:rPr>
              <w:t>cambios en el pulso, la frecuencia cardíaca y la presión arterial</w:t>
            </w:r>
          </w:p>
          <w:p>
            <w:pPr>
              <w:pStyle w:val="TableParagraph"/>
              <w:numPr>
                <w:ilvl w:val="0"/>
                <w:numId w:val="34"/>
              </w:numPr>
              <w:tabs>
                <w:tab w:pos="503" w:val="left" w:leader="none"/>
                <w:tab w:pos="504" w:val="left" w:leader="none"/>
              </w:tabs>
              <w:spacing w:line="194" w:lineRule="exact" w:before="0" w:after="0"/>
              <w:ind w:left="504" w:right="0" w:hanging="360"/>
              <w:jc w:val="left"/>
              <w:rPr>
                <w:sz w:val="20"/>
              </w:rPr>
            </w:pPr>
            <w:r>
              <w:rPr>
                <w:b/>
                <w:w w:val="90"/>
                <w:sz w:val="20"/>
              </w:rPr>
              <w:t>movimientos del cuerpo no controlada (tardía discinesia). </w:t>
            </w:r>
            <w:r>
              <w:rPr>
                <w:w w:val="90"/>
                <w:sz w:val="20"/>
              </w:rPr>
              <w:t>ABILIFY Mantenim puede provocar movimientos que no se puede controlar en su</w:t>
            </w:r>
          </w:p>
          <w:p>
            <w:pPr>
              <w:pStyle w:val="TableParagraph"/>
              <w:spacing w:line="223" w:lineRule="auto" w:before="5"/>
              <w:ind w:left="504" w:right="119"/>
              <w:rPr>
                <w:sz w:val="20"/>
              </w:rPr>
            </w:pPr>
            <w:r>
              <w:rPr>
                <w:w w:val="95"/>
                <w:sz w:val="20"/>
              </w:rPr>
              <w:t>cara, la lengua, o de otras partes del cuerpo. La discinesia tardía no puede desaparecer, incluso si deja de recibir ABILIFY Mantenim. tardía</w:t>
            </w:r>
            <w:r>
              <w:rPr>
                <w:sz w:val="20"/>
              </w:rPr>
              <w:t>discinesia también puede comenzar después de dejar de recibir ABILIFY Mantenim.</w:t>
            </w:r>
          </w:p>
          <w:p>
            <w:pPr>
              <w:pStyle w:val="TableParagraph"/>
              <w:numPr>
                <w:ilvl w:val="0"/>
                <w:numId w:val="34"/>
              </w:numPr>
              <w:tabs>
                <w:tab w:pos="503" w:val="left" w:leader="none"/>
                <w:tab w:pos="504" w:val="left" w:leader="none"/>
              </w:tabs>
              <w:spacing w:line="240" w:lineRule="auto" w:before="16" w:after="0"/>
              <w:ind w:left="504" w:right="0" w:hanging="360"/>
              <w:jc w:val="left"/>
              <w:rPr>
                <w:b/>
                <w:sz w:val="20"/>
              </w:rPr>
            </w:pPr>
            <w:r>
              <w:rPr>
                <w:b/>
                <w:w w:val="95"/>
                <w:sz w:val="20"/>
              </w:rPr>
              <w:t>Los problemas con el metabolismo tales como:</w:t>
            </w:r>
          </w:p>
          <w:p>
            <w:pPr>
              <w:pStyle w:val="TableParagraph"/>
              <w:tabs>
                <w:tab w:pos="863" w:val="left" w:leader="none"/>
              </w:tabs>
              <w:spacing w:line="156" w:lineRule="auto" w:before="89"/>
              <w:ind w:left="863" w:right="130" w:hanging="360"/>
              <w:rPr>
                <w:sz w:val="20"/>
              </w:rPr>
            </w:pPr>
            <w:r>
              <w:rPr>
                <w:w w:val="95"/>
                <w:position w:val="-7"/>
                <w:sz w:val="28"/>
              </w:rPr>
              <w:t>°</w:t>
              <w:tab/>
            </w:r>
            <w:r>
              <w:rPr>
                <w:b/>
                <w:w w:val="90"/>
                <w:sz w:val="20"/>
              </w:rPr>
              <w:t>azúcar en la sangre (hiperglucemia): </w:t>
            </w:r>
            <w:r>
              <w:rPr>
                <w:w w:val="90"/>
                <w:sz w:val="20"/>
              </w:rPr>
              <w:t>Los aumentos de azúcar en la sangre pueden ocurrir en algunas personas que reciben ABILIFY Mantenim. Extremadamente azúcar en la sangre puede llevar al coma o la muerte. Si usted tiene diabetes o factores de riesgo para la diabetes (tales como ser</w:t>
            </w:r>
          </w:p>
          <w:p>
            <w:pPr>
              <w:pStyle w:val="TableParagraph"/>
              <w:spacing w:line="223" w:lineRule="auto" w:before="13"/>
              <w:ind w:left="863" w:right="129"/>
              <w:rPr>
                <w:sz w:val="20"/>
              </w:rPr>
            </w:pPr>
            <w:r>
              <w:rPr>
                <w:w w:val="90"/>
                <w:sz w:val="20"/>
              </w:rPr>
              <w:t>sobrepeso o antecedentes familiares de diabetes), su médico debe controlar su azúcar en la sangre antes de que empiece a recibir </w:t>
            </w:r>
            <w:r>
              <w:rPr>
                <w:sz w:val="20"/>
              </w:rPr>
              <w:t>ABILIFY Mantenim y durante su tratamiento.</w:t>
            </w:r>
          </w:p>
          <w:p>
            <w:pPr>
              <w:pStyle w:val="TableParagraph"/>
              <w:spacing w:line="222" w:lineRule="exact" w:before="61"/>
              <w:ind w:left="143"/>
              <w:rPr>
                <w:b/>
                <w:sz w:val="20"/>
              </w:rPr>
            </w:pPr>
            <w:r>
              <w:rPr>
                <w:b/>
                <w:w w:val="95"/>
                <w:sz w:val="20"/>
              </w:rPr>
              <w:t>Llame a su médico si usted tiene alguno de estos síntomas de niveles altos de azúcar en sangre, mientras que la recepción de ABILIFY Mantenim:</w:t>
            </w:r>
          </w:p>
          <w:p>
            <w:pPr>
              <w:pStyle w:val="TableParagraph"/>
              <w:numPr>
                <w:ilvl w:val="1"/>
                <w:numId w:val="34"/>
              </w:numPr>
              <w:tabs>
                <w:tab w:pos="1306" w:val="left" w:leader="none"/>
                <w:tab w:pos="1307" w:val="left" w:leader="none"/>
              </w:tabs>
              <w:spacing w:line="221" w:lineRule="exact" w:before="0" w:after="0"/>
              <w:ind w:left="1307" w:right="0" w:hanging="443"/>
              <w:jc w:val="left"/>
              <w:rPr>
                <w:sz w:val="20"/>
              </w:rPr>
            </w:pPr>
            <w:r>
              <w:rPr>
                <w:sz w:val="20"/>
              </w:rPr>
              <w:t>sentir mucha sed</w:t>
            </w:r>
          </w:p>
          <w:p>
            <w:pPr>
              <w:pStyle w:val="TableParagraph"/>
              <w:numPr>
                <w:ilvl w:val="1"/>
                <w:numId w:val="34"/>
              </w:numPr>
              <w:tabs>
                <w:tab w:pos="1306" w:val="left" w:leader="none"/>
                <w:tab w:pos="1307" w:val="left" w:leader="none"/>
              </w:tabs>
              <w:spacing w:line="228" w:lineRule="exact" w:before="0" w:after="0"/>
              <w:ind w:left="1307" w:right="0" w:hanging="443"/>
              <w:jc w:val="left"/>
              <w:rPr>
                <w:sz w:val="20"/>
              </w:rPr>
            </w:pPr>
            <w:r>
              <w:rPr>
                <w:sz w:val="20"/>
              </w:rPr>
              <w:t>necesidad de orinar más de lo habitual</w:t>
            </w:r>
          </w:p>
          <w:p>
            <w:pPr>
              <w:pStyle w:val="TableParagraph"/>
              <w:numPr>
                <w:ilvl w:val="1"/>
                <w:numId w:val="34"/>
              </w:numPr>
              <w:tabs>
                <w:tab w:pos="1306" w:val="left" w:leader="none"/>
                <w:tab w:pos="1307" w:val="left" w:leader="none"/>
              </w:tabs>
              <w:spacing w:line="228" w:lineRule="exact" w:before="0" w:after="0"/>
              <w:ind w:left="1307" w:right="0" w:hanging="443"/>
              <w:jc w:val="left"/>
              <w:rPr>
                <w:sz w:val="20"/>
              </w:rPr>
            </w:pPr>
            <w:r>
              <w:rPr>
                <w:sz w:val="20"/>
              </w:rPr>
              <w:t>sentirse muy hambriento</w:t>
            </w:r>
          </w:p>
          <w:p>
            <w:pPr>
              <w:pStyle w:val="TableParagraph"/>
              <w:numPr>
                <w:ilvl w:val="1"/>
                <w:numId w:val="34"/>
              </w:numPr>
              <w:tabs>
                <w:tab w:pos="1306" w:val="left" w:leader="none"/>
                <w:tab w:pos="1307" w:val="left" w:leader="none"/>
              </w:tabs>
              <w:spacing w:line="228" w:lineRule="exact" w:before="0" w:after="0"/>
              <w:ind w:left="1307" w:right="0" w:hanging="443"/>
              <w:jc w:val="left"/>
              <w:rPr>
                <w:sz w:val="20"/>
              </w:rPr>
            </w:pPr>
            <w:r>
              <w:rPr>
                <w:sz w:val="20"/>
              </w:rPr>
              <w:t>sentirse débil o cansado</w:t>
            </w:r>
          </w:p>
          <w:p>
            <w:pPr>
              <w:pStyle w:val="TableParagraph"/>
              <w:numPr>
                <w:ilvl w:val="1"/>
                <w:numId w:val="34"/>
              </w:numPr>
              <w:tabs>
                <w:tab w:pos="1306" w:val="left" w:leader="none"/>
                <w:tab w:pos="1307" w:val="left" w:leader="none"/>
              </w:tabs>
              <w:spacing w:line="228" w:lineRule="exact" w:before="0" w:after="0"/>
              <w:ind w:left="1307" w:right="0" w:hanging="443"/>
              <w:jc w:val="left"/>
              <w:rPr>
                <w:sz w:val="20"/>
              </w:rPr>
            </w:pPr>
            <w:r>
              <w:rPr>
                <w:sz w:val="20"/>
              </w:rPr>
              <w:t>sentirse mal del estómago</w:t>
            </w:r>
          </w:p>
          <w:p>
            <w:pPr>
              <w:pStyle w:val="TableParagraph"/>
              <w:numPr>
                <w:ilvl w:val="1"/>
                <w:numId w:val="34"/>
              </w:numPr>
              <w:tabs>
                <w:tab w:pos="1306" w:val="left" w:leader="none"/>
                <w:tab w:pos="1307" w:val="left" w:leader="none"/>
              </w:tabs>
              <w:spacing w:line="229" w:lineRule="exact" w:before="0" w:after="0"/>
              <w:ind w:left="1307" w:right="0" w:hanging="443"/>
              <w:jc w:val="left"/>
              <w:rPr>
                <w:sz w:val="20"/>
              </w:rPr>
            </w:pPr>
            <w:r>
              <w:rPr>
                <w:sz w:val="20"/>
              </w:rPr>
              <w:t>siente confundido o el aliento con olor a frutas</w:t>
            </w:r>
          </w:p>
          <w:p>
            <w:pPr>
              <w:pStyle w:val="TableParagraph"/>
              <w:tabs>
                <w:tab w:pos="863" w:val="left" w:leader="none"/>
              </w:tabs>
              <w:spacing w:line="283" w:lineRule="exact" w:before="68"/>
              <w:ind w:left="504"/>
              <w:rPr>
                <w:b/>
                <w:sz w:val="20"/>
              </w:rPr>
            </w:pPr>
            <w:r>
              <w:rPr>
                <w:w w:val="95"/>
                <w:position w:val="-7"/>
                <w:sz w:val="28"/>
              </w:rPr>
              <w:t>°</w:t>
              <w:tab/>
            </w:r>
            <w:r>
              <w:rPr>
                <w:b/>
                <w:w w:val="95"/>
                <w:sz w:val="20"/>
              </w:rPr>
              <w:t>El aumento de los niveles de grasa (colesterol y triglicéridos) en la sangre.</w:t>
            </w:r>
          </w:p>
          <w:p>
            <w:pPr>
              <w:pStyle w:val="TableParagraph"/>
              <w:numPr>
                <w:ilvl w:val="0"/>
                <w:numId w:val="34"/>
              </w:numPr>
              <w:tabs>
                <w:tab w:pos="503" w:val="left" w:leader="none"/>
                <w:tab w:pos="504" w:val="left" w:leader="none"/>
                <w:tab w:pos="863" w:val="left" w:leader="none"/>
              </w:tabs>
              <w:spacing w:line="129" w:lineRule="auto" w:before="0" w:after="0"/>
              <w:ind w:left="504" w:right="0" w:hanging="360"/>
              <w:jc w:val="left"/>
              <w:rPr>
                <w:sz w:val="20"/>
              </w:rPr>
            </w:pPr>
            <w:r>
              <w:rPr>
                <w:position w:val="-7"/>
                <w:sz w:val="28"/>
              </w:rPr>
              <w:t>°</w:t>
              <w:tab/>
            </w:r>
            <w:r>
              <w:rPr>
                <w:b/>
                <w:sz w:val="20"/>
              </w:rPr>
              <w:t>Aumento de peso. </w:t>
            </w:r>
            <w:r>
              <w:rPr>
                <w:spacing w:val="-4"/>
                <w:sz w:val="20"/>
              </w:rPr>
              <w:t>Tú </w:t>
            </w:r>
            <w:r>
              <w:rPr>
                <w:sz w:val="20"/>
              </w:rPr>
              <w:t>y su médico debe revisar su peso regularmente.</w:t>
            </w:r>
          </w:p>
          <w:p>
            <w:pPr>
              <w:pStyle w:val="TableParagraph"/>
              <w:spacing w:line="113" w:lineRule="exact"/>
              <w:ind w:left="503"/>
              <w:rPr>
                <w:sz w:val="20"/>
              </w:rPr>
            </w:pPr>
            <w:r>
              <w:rPr>
                <w:b/>
                <w:w w:val="90"/>
                <w:sz w:val="20"/>
              </w:rPr>
              <w:t>inusual impulso. </w:t>
            </w:r>
            <w:r>
              <w:rPr>
                <w:w w:val="90"/>
                <w:sz w:val="20"/>
              </w:rPr>
              <w:t>Algunas personas que reciben ABILIFY Mantenim han tenido inusual impulso como el juego, los atracones o comer que</w:t>
            </w:r>
          </w:p>
          <w:p>
            <w:pPr>
              <w:pStyle w:val="TableParagraph"/>
              <w:spacing w:line="223" w:lineRule="auto"/>
              <w:ind w:left="503" w:right="122"/>
              <w:rPr>
                <w:sz w:val="20"/>
              </w:rPr>
            </w:pPr>
            <w:r>
              <w:rPr>
                <w:w w:val="90"/>
                <w:sz w:val="20"/>
              </w:rPr>
              <w:t>no se puede controlar (compulsivo), las compras compulsivas y los impulsos sexuales. Si usted o miembros de su familia cuenta de que usted está teniendo</w:t>
            </w:r>
            <w:r>
              <w:rPr>
                <w:sz w:val="20"/>
              </w:rPr>
              <w:t>impulsos o comportamientos inusuales, hable con su proveedor de atención médica.</w:t>
            </w:r>
          </w:p>
          <w:p>
            <w:pPr>
              <w:pStyle w:val="TableParagraph"/>
              <w:numPr>
                <w:ilvl w:val="0"/>
                <w:numId w:val="34"/>
              </w:numPr>
              <w:tabs>
                <w:tab w:pos="503" w:val="left" w:leader="none"/>
                <w:tab w:pos="504" w:val="left" w:leader="none"/>
              </w:tabs>
              <w:spacing w:line="223" w:lineRule="auto" w:before="13" w:after="0"/>
              <w:ind w:left="504" w:right="132" w:hanging="360"/>
              <w:jc w:val="left"/>
              <w:rPr>
                <w:sz w:val="20"/>
              </w:rPr>
            </w:pPr>
            <w:r>
              <w:rPr>
                <w:b/>
                <w:w w:val="90"/>
                <w:sz w:val="20"/>
              </w:rPr>
              <w:t>presión arterial Disminución (hipotensión ortostática). </w:t>
            </w:r>
            <w:r>
              <w:rPr>
                <w:spacing w:val="-4"/>
                <w:w w:val="90"/>
                <w:sz w:val="20"/>
              </w:rPr>
              <w:t>Tú </w:t>
            </w:r>
            <w:r>
              <w:rPr>
                <w:w w:val="90"/>
                <w:sz w:val="20"/>
              </w:rPr>
              <w:t>puede sentirse mareado o desmayarse cuando usted se levanta demasiado rápido después de estar sentado o acostado.</w:t>
            </w:r>
          </w:p>
          <w:p>
            <w:pPr>
              <w:pStyle w:val="TableParagraph"/>
              <w:numPr>
                <w:ilvl w:val="0"/>
                <w:numId w:val="34"/>
              </w:numPr>
              <w:tabs>
                <w:tab w:pos="503" w:val="left" w:leader="none"/>
                <w:tab w:pos="504" w:val="left" w:leader="none"/>
              </w:tabs>
              <w:spacing w:line="240" w:lineRule="auto" w:before="15" w:after="0"/>
              <w:ind w:left="504" w:right="0" w:hanging="360"/>
              <w:jc w:val="left"/>
              <w:rPr>
                <w:b/>
                <w:sz w:val="20"/>
              </w:rPr>
            </w:pPr>
            <w:r>
              <w:rPr>
                <w:b/>
                <w:w w:val="95"/>
                <w:sz w:val="20"/>
              </w:rPr>
              <w:t>Bajo recuento de glóbulos blancos</w:t>
            </w:r>
          </w:p>
          <w:p>
            <w:pPr>
              <w:pStyle w:val="TableParagraph"/>
              <w:numPr>
                <w:ilvl w:val="0"/>
                <w:numId w:val="34"/>
              </w:numPr>
              <w:tabs>
                <w:tab w:pos="503" w:val="left" w:leader="none"/>
                <w:tab w:pos="504" w:val="left" w:leader="none"/>
              </w:tabs>
              <w:spacing w:line="240" w:lineRule="auto" w:before="13" w:after="0"/>
              <w:ind w:left="504" w:right="0" w:hanging="360"/>
              <w:jc w:val="left"/>
              <w:rPr>
                <w:b/>
                <w:sz w:val="20"/>
              </w:rPr>
            </w:pPr>
            <w:r>
              <w:rPr>
                <w:b/>
                <w:w w:val="95"/>
                <w:sz w:val="20"/>
              </w:rPr>
              <w:t>Convulsiones (convulsiones)</w:t>
            </w:r>
          </w:p>
          <w:p>
            <w:pPr>
              <w:pStyle w:val="TableParagraph"/>
              <w:numPr>
                <w:ilvl w:val="0"/>
                <w:numId w:val="34"/>
              </w:numPr>
              <w:tabs>
                <w:tab w:pos="503" w:val="left" w:leader="none"/>
                <w:tab w:pos="504" w:val="left" w:leader="none"/>
              </w:tabs>
              <w:spacing w:line="223" w:lineRule="auto" w:before="26" w:after="0"/>
              <w:ind w:left="504" w:right="131" w:hanging="360"/>
              <w:jc w:val="left"/>
              <w:rPr>
                <w:b/>
                <w:sz w:val="20"/>
              </w:rPr>
            </w:pPr>
            <w:r>
              <w:rPr>
                <w:b/>
                <w:w w:val="95"/>
                <w:sz w:val="20"/>
              </w:rPr>
              <w:t>Problemas para controlar la temperatura de su cuerpo para que se sienten demasiado caliente. Ver “¿Qué debo evitar mientras recibo ABILIFY Mantenim?”</w:t>
            </w:r>
          </w:p>
          <w:p>
            <w:pPr>
              <w:pStyle w:val="TableParagraph"/>
              <w:numPr>
                <w:ilvl w:val="0"/>
                <w:numId w:val="34"/>
              </w:numPr>
              <w:tabs>
                <w:tab w:pos="503" w:val="left" w:leader="none"/>
                <w:tab w:pos="504" w:val="left" w:leader="none"/>
              </w:tabs>
              <w:spacing w:line="240" w:lineRule="auto" w:before="16" w:after="0"/>
              <w:ind w:left="504" w:right="0" w:hanging="360"/>
              <w:jc w:val="left"/>
              <w:rPr>
                <w:b/>
                <w:sz w:val="20"/>
              </w:rPr>
            </w:pPr>
            <w:r>
              <w:rPr>
                <w:b/>
                <w:w w:val="95"/>
                <w:sz w:val="20"/>
              </w:rPr>
              <w:t>La dificultad para tragar</w:t>
            </w:r>
          </w:p>
          <w:p>
            <w:pPr>
              <w:pStyle w:val="TableParagraph"/>
              <w:spacing w:line="223" w:lineRule="auto" w:before="55"/>
              <w:ind w:left="143" w:right="122"/>
              <w:rPr>
                <w:sz w:val="20"/>
              </w:rPr>
            </w:pPr>
            <w:r>
              <w:rPr>
                <w:b/>
                <w:w w:val="90"/>
                <w:sz w:val="20"/>
              </w:rPr>
              <w:t>Los efectos secundarios más comunes de ABILIFY Mantenim incluyen: </w:t>
            </w:r>
            <w:r>
              <w:rPr>
                <w:w w:val="90"/>
                <w:sz w:val="20"/>
              </w:rPr>
              <w:t>aumento de peso, sensación interna de inquietud como la sensación de que se necesita </w:t>
            </w:r>
            <w:r>
              <w:rPr>
                <w:sz w:val="20"/>
              </w:rPr>
              <w:t>mover (acatisia), dolor en el sitio de la inyección, o la somnolencia (sedación).</w:t>
            </w:r>
          </w:p>
          <w:p>
            <w:pPr>
              <w:pStyle w:val="TableParagraph"/>
              <w:spacing w:line="223" w:lineRule="auto" w:before="43"/>
              <w:ind w:left="143" w:right="123"/>
              <w:rPr>
                <w:sz w:val="20"/>
              </w:rPr>
            </w:pPr>
            <w:r>
              <w:rPr>
                <w:w w:val="90"/>
                <w:sz w:val="20"/>
              </w:rPr>
              <w:t>Estos no son todos los posibles efectos secundarios de ABILIFY Mantenim. Llame a su médico para consejo médico sobre efectos secundarios. Puede reportar</w:t>
            </w:r>
            <w:r>
              <w:rPr>
                <w:sz w:val="20"/>
              </w:rPr>
              <w:t>efectos secundarios a la FDA al 1-800-FDA-1088.</w:t>
            </w:r>
          </w:p>
        </w:tc>
      </w:tr>
      <w:tr>
        <w:trPr>
          <w:trHeight w:val="878" w:hRule="atLeast"/>
        </w:trPr>
        <w:tc>
          <w:tcPr>
            <w:tcW w:w="10800" w:type="dxa"/>
          </w:tcPr>
          <w:p>
            <w:pPr>
              <w:pStyle w:val="TableParagraph"/>
              <w:spacing w:before="95"/>
              <w:ind w:left="143"/>
              <w:rPr>
                <w:b/>
                <w:sz w:val="20"/>
              </w:rPr>
            </w:pPr>
            <w:r>
              <w:rPr>
                <w:b/>
                <w:w w:val="95"/>
                <w:sz w:val="20"/>
              </w:rPr>
              <w:t>Información general sobre el uso seguro y eficaz de ABILIFY Mantenim.</w:t>
            </w:r>
          </w:p>
          <w:p>
            <w:pPr>
              <w:pStyle w:val="TableParagraph"/>
              <w:spacing w:line="223" w:lineRule="auto" w:before="26"/>
              <w:ind w:left="143" w:right="129"/>
              <w:rPr>
                <w:sz w:val="20"/>
              </w:rPr>
            </w:pPr>
            <w:r>
              <w:rPr>
                <w:w w:val="90"/>
                <w:sz w:val="20"/>
              </w:rPr>
              <w:t>Si desea más información, hable con su proveedor de atención médica. Puede pedir a su proveedor de atención médica o farmacéutico para obtener información</w:t>
            </w:r>
            <w:r>
              <w:rPr>
                <w:sz w:val="20"/>
              </w:rPr>
              <w:t>sobre ABILIFY Mantenim lo que está escrito para los profesionales sanitarios.</w:t>
            </w:r>
          </w:p>
        </w:tc>
      </w:tr>
      <w:tr>
        <w:trPr>
          <w:trHeight w:val="1758" w:hRule="atLeast"/>
        </w:trPr>
        <w:tc>
          <w:tcPr>
            <w:tcW w:w="10800" w:type="dxa"/>
          </w:tcPr>
          <w:p>
            <w:pPr>
              <w:pStyle w:val="TableParagraph"/>
              <w:spacing w:line="283" w:lineRule="auto" w:before="95"/>
              <w:ind w:left="143" w:right="6688"/>
              <w:rPr>
                <w:sz w:val="20"/>
              </w:rPr>
            </w:pPr>
            <w:r>
              <w:rPr>
                <w:b/>
                <w:w w:val="85"/>
                <w:sz w:val="20"/>
              </w:rPr>
              <w:t>¿Cuáles son los ingredientes de ABILIFY Mantenim? Ingrediente activo:</w:t>
            </w:r>
            <w:r>
              <w:rPr>
                <w:w w:val="95"/>
                <w:sz w:val="20"/>
              </w:rPr>
              <w:t>monohidrato de aripiprazol</w:t>
            </w:r>
          </w:p>
          <w:p>
            <w:pPr>
              <w:pStyle w:val="TableParagraph"/>
              <w:spacing w:line="216" w:lineRule="exact"/>
              <w:ind w:left="143"/>
              <w:rPr>
                <w:sz w:val="20"/>
              </w:rPr>
            </w:pPr>
            <w:r>
              <w:rPr>
                <w:b/>
                <w:w w:val="90"/>
                <w:sz w:val="20"/>
              </w:rPr>
              <w:t>Ingredientes inactivos: </w:t>
            </w:r>
            <w:r>
              <w:rPr>
                <w:w w:val="90"/>
                <w:sz w:val="20"/>
              </w:rPr>
              <w:t>carboximetilcelulosa sódica, manitol, fosfato de sodio monobásico monohidrato e hidróxido de sodio</w:t>
            </w:r>
          </w:p>
          <w:p>
            <w:pPr>
              <w:pStyle w:val="TableParagraph"/>
              <w:spacing w:before="96"/>
              <w:ind w:left="144"/>
              <w:rPr>
                <w:sz w:val="18"/>
              </w:rPr>
            </w:pPr>
            <w:r>
              <w:rPr>
                <w:sz w:val="18"/>
              </w:rPr>
              <w:t>ABILIFY Mantenim es una marca comercial registrada de Otsuka Pharmaceutical Co., Ltd.</w:t>
            </w:r>
          </w:p>
          <w:p>
            <w:pPr>
              <w:pStyle w:val="TableParagraph"/>
              <w:spacing w:before="37"/>
              <w:ind w:left="144"/>
              <w:rPr>
                <w:sz w:val="18"/>
              </w:rPr>
            </w:pPr>
            <w:r>
              <w:rPr>
                <w:sz w:val="18"/>
              </w:rPr>
              <w:t>© 2017, Otsuka Pharmaceutical Co., Ltd., Tokio, Japón 101-8535</w:t>
            </w:r>
          </w:p>
          <w:p>
            <w:pPr>
              <w:pStyle w:val="TableParagraph"/>
              <w:spacing w:before="50"/>
              <w:ind w:left="144"/>
              <w:rPr>
                <w:sz w:val="18"/>
              </w:rPr>
            </w:pPr>
            <w:r>
              <w:rPr>
                <w:sz w:val="18"/>
              </w:rPr>
              <w:t>Para obtener más información, visite </w:t>
            </w:r>
            <w:hyperlink r:id="rId80">
              <w:r>
                <w:rPr>
                  <w:sz w:val="18"/>
                </w:rPr>
                <w:t>www.ABILIFYMAINTENA.com </w:t>
              </w:r>
            </w:hyperlink>
            <w:r>
              <w:rPr>
                <w:sz w:val="18"/>
              </w:rPr>
              <w:t>o llame al 1-800-441-6763.</w:t>
            </w:r>
          </w:p>
        </w:tc>
      </w:tr>
    </w:tbl>
    <w:p>
      <w:pPr>
        <w:tabs>
          <w:tab w:pos="7368" w:val="left" w:leader="none"/>
          <w:tab w:pos="9683" w:val="left" w:leader="none"/>
        </w:tabs>
        <w:spacing w:before="47"/>
        <w:ind w:left="140" w:right="0" w:firstLine="0"/>
        <w:jc w:val="left"/>
        <w:rPr>
          <w:sz w:val="18"/>
        </w:rPr>
      </w:pPr>
      <w:r>
        <w:rPr>
          <w:w w:val="90"/>
          <w:sz w:val="18"/>
        </w:rPr>
        <w:t>Esta Guía del medicamento ha sido aprobado por la Food and Drug </w:t>
      </w:r>
      <w:r>
        <w:rPr>
          <w:w w:val="90"/>
          <w:sz w:val="18"/>
        </w:rPr>
        <w:t>Administration.09US19IBR0002</w:t>
        <w:tab/>
        <w:tab/>
      </w:r>
      <w:r>
        <w:rPr>
          <w:sz w:val="18"/>
        </w:rPr>
        <w:t>Revisado: 07/2017</w:t>
      </w:r>
    </w:p>
    <w:sectPr>
      <w:headerReference w:type="default" r:id="rId78"/>
      <w:footerReference w:type="default" r:id="rId79"/>
      <w:pgSz w:w="12240" w:h="15840"/>
      <w:pgMar w:header="0" w:footer="378" w:top="600" w:bottom="560" w:left="580" w:right="0"/>
      <w:pgNumType w:start="1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99.140015pt;margin-top:758.090027pt;width:13.75pt;height:13.2pt;mso-position-horizontal-relative:page;mso-position-vertical-relative:page;z-index:-63952" type="#_x0000_t202" filled="false" stroked="false">
          <v:textbox inset="0,0,0,0">
            <w:txbxContent>
              <w:p>
                <w:pPr>
                  <w:spacing w:before="29"/>
                  <w:ind w:left="40" w:right="0" w:firstLine="0"/>
                  <w:jc w:val="left"/>
                  <w:rPr>
                    <w:sz w:val="18"/>
                  </w:rPr>
                </w:pPr>
                <w:r>
                  <w:rPr/>
                  <w:fldChar w:fldCharType="begin"/>
                </w:r>
                <w:r>
                  <w:rPr>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882690pt;margin-top:758.090027pt;width:13pt;height:13.2pt;mso-position-horizontal-relative:page;mso-position-vertical-relative:page;z-index:-63832" type="#_x0000_t202" filled="false" stroked="false">
          <v:textbox inset="0,0,0,0">
            <w:txbxContent>
              <w:p>
                <w:pPr>
                  <w:spacing w:before="29"/>
                  <w:ind w:left="40" w:right="0" w:firstLine="0"/>
                  <w:jc w:val="left"/>
                  <w:rPr>
                    <w:sz w:val="18"/>
                  </w:rPr>
                </w:pPr>
                <w:r>
                  <w:rPr/>
                  <w:fldChar w:fldCharType="begin"/>
                </w:r>
                <w:r>
                  <w:rPr>
                    <w:sz w:val="18"/>
                  </w:rPr>
                  <w:instrText> PAGE </w:instrText>
                </w:r>
                <w:r>
                  <w:rPr/>
                  <w:fldChar w:fldCharType="separate"/>
                </w:r>
                <w:r>
                  <w:rPr/>
                  <w:t>15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5pt;margin-top:758.092529pt;width:13pt;height:13.2pt;mso-position-horizontal-relative:page;mso-position-vertical-relative:page;z-index:-63808" type="#_x0000_t202" filled="false" stroked="false">
          <v:textbox inset="0,0,0,0">
            <w:txbxContent>
              <w:p>
                <w:pPr>
                  <w:spacing w:before="29"/>
                  <w:ind w:left="40" w:right="0" w:firstLine="0"/>
                  <w:jc w:val="left"/>
                  <w:rPr>
                    <w:sz w:val="18"/>
                  </w:rPr>
                </w:pPr>
                <w:r>
                  <w:rPr/>
                  <w:fldChar w:fldCharType="begin"/>
                </w:r>
                <w:r>
                  <w:rPr>
                    <w:sz w:val="18"/>
                  </w:rPr>
                  <w:instrText> PAGE </w:instrText>
                </w:r>
                <w:r>
                  <w:rPr/>
                  <w:fldChar w:fldCharType="separate"/>
                </w:r>
                <w:r>
                  <w:rPr/>
                  <w:t>dieciséis</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2.975899pt;width:103.95pt;height:11.95pt;mso-position-horizontal-relative:page;mso-position-vertical-relative:page;z-index:-64000" type="#_x0000_t202" filled="false" stroked="false">
          <v:textbox inset="0,0,0,0">
            <w:txbxContent>
              <w:p>
                <w:pPr>
                  <w:spacing w:before="28"/>
                  <w:ind w:left="20" w:right="0" w:firstLine="0"/>
                  <w:jc w:val="left"/>
                  <w:rPr>
                    <w:b/>
                    <w:sz w:val="16"/>
                  </w:rPr>
                </w:pPr>
                <w:r>
                  <w:rPr>
                    <w:b/>
                    <w:w w:val="75"/>
                    <w:sz w:val="16"/>
                  </w:rPr>
                  <w:t>ABILIFY Mantenim</w:t>
                </w:r>
                <w:r>
                  <w:rPr>
                    <w:b/>
                    <w:w w:val="75"/>
                    <w:position w:val="5"/>
                    <w:sz w:val="9"/>
                  </w:rPr>
                  <w:t>® </w:t>
                </w:r>
                <w:r>
                  <w:rPr>
                    <w:b/>
                    <w:w w:val="75"/>
                    <w:sz w:val="16"/>
                  </w:rPr>
                  <w:t>(Aripiprazol)</w:t>
                </w:r>
              </w:p>
            </w:txbxContent>
          </v:textbox>
          <w10:wrap type="none"/>
        </v:shape>
      </w:pict>
    </w:r>
    <w:r>
      <w:rPr/>
      <w:pict>
        <v:shape style="position:absolute;margin-left:473.09729pt;margin-top:32.815899pt;width:103.95pt;height:11.95pt;mso-position-horizontal-relative:page;mso-position-vertical-relative:page;z-index:-63976" type="#_x0000_t202" filled="false" stroked="false">
          <v:textbox inset="0,0,0,0">
            <w:txbxContent>
              <w:p>
                <w:pPr>
                  <w:spacing w:before="28"/>
                  <w:ind w:left="20" w:right="0" w:firstLine="0"/>
                  <w:jc w:val="left"/>
                  <w:rPr>
                    <w:b/>
                    <w:sz w:val="16"/>
                  </w:rPr>
                </w:pPr>
                <w:r>
                  <w:rPr>
                    <w:b/>
                    <w:w w:val="75"/>
                    <w:sz w:val="16"/>
                  </w:rPr>
                  <w:t>ABILIFY Mantenim</w:t>
                </w:r>
                <w:r>
                  <w:rPr>
                    <w:b/>
                    <w:w w:val="75"/>
                    <w:position w:val="5"/>
                    <w:sz w:val="9"/>
                  </w:rPr>
                  <w:t>® </w:t>
                </w:r>
                <w:r>
                  <w:rPr>
                    <w:b/>
                    <w:w w:val="75"/>
                    <w:sz w:val="16"/>
                  </w:rPr>
                  <w:t>(Aripiprazol)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2.815899pt;width:103.95pt;height:12.1pt;mso-position-horizontal-relative:page;mso-position-vertical-relative:page;z-index:-63928" type="#_x0000_t202" filled="false" stroked="false">
          <v:textbox inset="0,0,0,0">
            <w:txbxContent>
              <w:p>
                <w:pPr>
                  <w:spacing w:before="31"/>
                  <w:ind w:left="20" w:right="0" w:firstLine="0"/>
                  <w:jc w:val="left"/>
                  <w:rPr>
                    <w:b/>
                    <w:sz w:val="16"/>
                  </w:rPr>
                </w:pPr>
                <w:r>
                  <w:rPr>
                    <w:b/>
                    <w:spacing w:val="-81"/>
                    <w:w w:val="69"/>
                    <w:sz w:val="16"/>
                  </w:rPr>
                  <w:t>UNA</w:t>
                </w:r>
                <w:r>
                  <w:rPr>
                    <w:b/>
                    <w:w w:val="69"/>
                    <w:sz w:val="16"/>
                  </w:rPr>
                  <w:t>ABBIILLIIFFYY</w:t>
                </w:r>
                <w:r>
                  <w:rPr>
                    <w:b/>
                    <w:spacing w:val="-9"/>
                    <w:sz w:val="16"/>
                  </w:rPr>
                  <w:t> METRO</w:t>
                </w:r>
                <w:r>
                  <w:rPr>
                    <w:b/>
                    <w:w w:val="84"/>
                    <w:sz w:val="16"/>
                  </w:rPr>
                  <w:t>MAAIINNTTEENNAA</w:t>
                </w:r>
                <w:r>
                  <w:rPr>
                    <w:b/>
                    <w:spacing w:val="-70"/>
                    <w:w w:val="105"/>
                    <w:position w:val="6"/>
                    <w:sz w:val="9"/>
                  </w:rPr>
                  <w:t>®</w:t>
                </w:r>
                <w:r>
                  <w:rPr>
                    <w:b/>
                    <w:w w:val="105"/>
                    <w:position w:val="5"/>
                    <w:sz w:val="9"/>
                  </w:rPr>
                  <w:t>®</w:t>
                </w:r>
                <w:r>
                  <w:rPr>
                    <w:b/>
                    <w:spacing w:val="11"/>
                    <w:position w:val="5"/>
                    <w:sz w:val="9"/>
                  </w:rPr>
                  <w:t> </w:t>
                </w:r>
                <w:r>
                  <w:rPr>
                    <w:b/>
                    <w:spacing w:val="-48"/>
                    <w:w w:val="89"/>
                    <w:sz w:val="16"/>
                  </w:rPr>
                  <w:t>(</w:t>
                </w:r>
                <w:r>
                  <w:rPr>
                    <w:b/>
                    <w:w w:val="89"/>
                    <w:sz w:val="16"/>
                  </w:rPr>
                  <w:t>(Aarriippiipprraazzoollee))</w:t>
                </w:r>
              </w:p>
            </w:txbxContent>
          </v:textbox>
          <w10:wrap type="none"/>
        </v:shape>
      </w:pict>
    </w:r>
    <w:r>
      <w:rPr/>
      <w:pict>
        <v:shape style="position:absolute;margin-left:473.09729pt;margin-top:32.815899pt;width:103.95pt;height:11.95pt;mso-position-horizontal-relative:page;mso-position-vertical-relative:page;z-index:-63904" type="#_x0000_t202" filled="false" stroked="false">
          <v:textbox inset="0,0,0,0">
            <w:txbxContent>
              <w:p>
                <w:pPr>
                  <w:spacing w:before="28"/>
                  <w:ind w:left="20" w:right="0" w:firstLine="0"/>
                  <w:jc w:val="left"/>
                  <w:rPr>
                    <w:b/>
                    <w:sz w:val="16"/>
                  </w:rPr>
                </w:pPr>
                <w:r>
                  <w:rPr>
                    <w:b/>
                    <w:w w:val="75"/>
                    <w:sz w:val="16"/>
                  </w:rPr>
                  <w:t>ABILIFY Mantenim</w:t>
                </w:r>
                <w:r>
                  <w:rPr>
                    <w:b/>
                    <w:w w:val="75"/>
                    <w:position w:val="5"/>
                    <w:sz w:val="9"/>
                  </w:rPr>
                  <w:t>® </w:t>
                </w:r>
                <w:r>
                  <w:rPr>
                    <w:b/>
                    <w:w w:val="75"/>
                    <w:sz w:val="16"/>
                  </w:rPr>
                  <w:t>(Aripiprazol)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2.975899pt;width:103.95pt;height:11.95pt;mso-position-horizontal-relative:page;mso-position-vertical-relative:page;z-index:-63880" type="#_x0000_t202" filled="false" stroked="false">
          <v:textbox inset="0,0,0,0">
            <w:txbxContent>
              <w:p>
                <w:pPr>
                  <w:spacing w:before="28"/>
                  <w:ind w:left="20" w:right="0" w:firstLine="0"/>
                  <w:jc w:val="left"/>
                  <w:rPr>
                    <w:b/>
                    <w:sz w:val="16"/>
                  </w:rPr>
                </w:pPr>
                <w:r>
                  <w:rPr>
                    <w:b/>
                    <w:w w:val="75"/>
                    <w:sz w:val="16"/>
                  </w:rPr>
                  <w:t>ABILIFY Mantenim</w:t>
                </w:r>
                <w:r>
                  <w:rPr>
                    <w:b/>
                    <w:w w:val="75"/>
                    <w:position w:val="5"/>
                    <w:sz w:val="9"/>
                  </w:rPr>
                  <w:t>® </w:t>
                </w:r>
                <w:r>
                  <w:rPr>
                    <w:b/>
                    <w:w w:val="75"/>
                    <w:sz w:val="16"/>
                  </w:rPr>
                  <w:t>(Aripiprazol)</w:t>
                </w:r>
              </w:p>
            </w:txbxContent>
          </v:textbox>
          <w10:wrap type="none"/>
        </v:shape>
      </w:pict>
    </w:r>
    <w:r>
      <w:rPr/>
      <w:pict>
        <v:shape style="position:absolute;margin-left:473.09729pt;margin-top:32.815899pt;width:103.95pt;height:11.95pt;mso-position-horizontal-relative:page;mso-position-vertical-relative:page;z-index:-63856" type="#_x0000_t202" filled="false" stroked="false">
          <v:textbox inset="0,0,0,0">
            <w:txbxContent>
              <w:p>
                <w:pPr>
                  <w:spacing w:before="28"/>
                  <w:ind w:left="20" w:right="0" w:firstLine="0"/>
                  <w:jc w:val="left"/>
                  <w:rPr>
                    <w:b/>
                    <w:sz w:val="16"/>
                  </w:rPr>
                </w:pPr>
                <w:r>
                  <w:rPr>
                    <w:b/>
                    <w:w w:val="75"/>
                    <w:sz w:val="16"/>
                  </w:rPr>
                  <w:t>ABILIFY Mantenim</w:t>
                </w:r>
                <w:r>
                  <w:rPr>
                    <w:b/>
                    <w:w w:val="75"/>
                    <w:position w:val="5"/>
                    <w:sz w:val="9"/>
                  </w:rPr>
                  <w:t>® </w:t>
                </w:r>
                <w:r>
                  <w:rPr>
                    <w:b/>
                    <w:w w:val="75"/>
                    <w:sz w:val="16"/>
                  </w:rPr>
                  <w:t>(Aripiprazol)</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751" w:hanging="180"/>
        <w:jc w:val="left"/>
      </w:pPr>
      <w:rPr>
        <w:rFonts w:hint="default" w:ascii="Arial" w:hAnsi="Arial" w:eastAsia="Arial" w:cs="Arial"/>
        <w:w w:val="89"/>
        <w:sz w:val="16"/>
        <w:szCs w:val="16"/>
        <w:lang w:val="en-us" w:eastAsia="en-us" w:bidi="en-us"/>
      </w:rPr>
    </w:lvl>
    <w:lvl w:ilvl="1">
      <w:start w:val="0"/>
      <w:numFmt w:val="bullet"/>
      <w:lvlText w:val="•"/>
      <w:lvlJc w:val="left"/>
      <w:pPr>
        <w:ind w:left="760" w:hanging="180"/>
      </w:pPr>
      <w:rPr>
        <w:rFonts w:hint="default"/>
        <w:lang w:val="en-us" w:eastAsia="en-us" w:bidi="en-us"/>
      </w:rPr>
    </w:lvl>
    <w:lvl w:ilvl="2">
      <w:start w:val="0"/>
      <w:numFmt w:val="bullet"/>
      <w:lvlText w:val="•"/>
      <w:lvlJc w:val="left"/>
      <w:pPr>
        <w:ind w:left="669" w:hanging="180"/>
      </w:pPr>
      <w:rPr>
        <w:rFonts w:hint="default"/>
        <w:lang w:val="en-us" w:eastAsia="en-us" w:bidi="en-us"/>
      </w:rPr>
    </w:lvl>
    <w:lvl w:ilvl="3">
      <w:start w:val="0"/>
      <w:numFmt w:val="bullet"/>
      <w:lvlText w:val="•"/>
      <w:lvlJc w:val="left"/>
      <w:pPr>
        <w:ind w:left="578" w:hanging="180"/>
      </w:pPr>
      <w:rPr>
        <w:rFonts w:hint="default"/>
        <w:lang w:val="en-us" w:eastAsia="en-us" w:bidi="en-us"/>
      </w:rPr>
    </w:lvl>
    <w:lvl w:ilvl="4">
      <w:start w:val="0"/>
      <w:numFmt w:val="bullet"/>
      <w:lvlText w:val="•"/>
      <w:lvlJc w:val="left"/>
      <w:pPr>
        <w:ind w:left="487" w:hanging="180"/>
      </w:pPr>
      <w:rPr>
        <w:rFonts w:hint="default"/>
        <w:lang w:val="en-us" w:eastAsia="en-us" w:bidi="en-us"/>
      </w:rPr>
    </w:lvl>
    <w:lvl w:ilvl="5">
      <w:start w:val="0"/>
      <w:numFmt w:val="bullet"/>
      <w:lvlText w:val="•"/>
      <w:lvlJc w:val="left"/>
      <w:pPr>
        <w:ind w:left="396" w:hanging="180"/>
      </w:pPr>
      <w:rPr>
        <w:rFonts w:hint="default"/>
        <w:lang w:val="en-us" w:eastAsia="en-us" w:bidi="en-us"/>
      </w:rPr>
    </w:lvl>
    <w:lvl w:ilvl="6">
      <w:start w:val="0"/>
      <w:numFmt w:val="bullet"/>
      <w:lvlText w:val="•"/>
      <w:lvlJc w:val="left"/>
      <w:pPr>
        <w:ind w:left="305" w:hanging="180"/>
      </w:pPr>
      <w:rPr>
        <w:rFonts w:hint="default"/>
        <w:lang w:val="en-us" w:eastAsia="en-us" w:bidi="en-us"/>
      </w:rPr>
    </w:lvl>
    <w:lvl w:ilvl="7">
      <w:start w:val="0"/>
      <w:numFmt w:val="bullet"/>
      <w:lvlText w:val="•"/>
      <w:lvlJc w:val="left"/>
      <w:pPr>
        <w:ind w:left="214" w:hanging="180"/>
      </w:pPr>
      <w:rPr>
        <w:rFonts w:hint="default"/>
        <w:lang w:val="en-us" w:eastAsia="en-us" w:bidi="en-us"/>
      </w:rPr>
    </w:lvl>
    <w:lvl w:ilvl="8">
      <w:start w:val="0"/>
      <w:numFmt w:val="bullet"/>
      <w:lvlText w:val="•"/>
      <w:lvlJc w:val="left"/>
      <w:pPr>
        <w:ind w:left="123" w:hanging="180"/>
      </w:pPr>
      <w:rPr>
        <w:rFonts w:hint="default"/>
        <w:lang w:val="en-us" w:eastAsia="en-us" w:bidi="en-us"/>
      </w:rPr>
    </w:lvl>
  </w:abstractNum>
  <w:abstractNum w:abstractNumId="33">
    <w:multiLevelType w:val="hybridMultilevel"/>
    <w:lvl w:ilvl="0">
      <w:start w:val="0"/>
      <w:numFmt w:val="bullet"/>
      <w:lvlText w:val="•"/>
      <w:lvlJc w:val="left"/>
      <w:pPr>
        <w:ind w:left="494" w:hanging="360"/>
      </w:pPr>
      <w:rPr>
        <w:rFonts w:hint="default" w:ascii="Arial" w:hAnsi="Arial" w:eastAsia="Arial" w:cs="Arial"/>
        <w:b/>
        <w:bCs/>
        <w:w w:val="119"/>
        <w:sz w:val="20"/>
        <w:szCs w:val="20"/>
        <w:lang w:val="en-us" w:eastAsia="en-us" w:bidi="en-us"/>
      </w:rPr>
    </w:lvl>
    <w:lvl w:ilvl="1">
      <w:start w:val="0"/>
      <w:numFmt w:val="bullet"/>
      <w:lvlText w:val=""/>
      <w:lvlJc w:val="left"/>
      <w:pPr>
        <w:ind w:left="1307" w:hanging="443"/>
      </w:pPr>
      <w:rPr>
        <w:rFonts w:hint="default" w:ascii="Wingdings" w:hAnsi="Wingdings" w:eastAsia="Wingdings" w:cs="Wingdings"/>
        <w:w w:val="100"/>
        <w:sz w:val="18"/>
        <w:szCs w:val="18"/>
        <w:lang w:val="en-us" w:eastAsia="en-us" w:bidi="en-us"/>
      </w:rPr>
    </w:lvl>
    <w:lvl w:ilvl="2">
      <w:start w:val="0"/>
      <w:numFmt w:val="bullet"/>
      <w:lvlText w:val="•"/>
      <w:lvlJc w:val="left"/>
      <w:pPr>
        <w:ind w:left="2354" w:hanging="443"/>
      </w:pPr>
      <w:rPr>
        <w:rFonts w:hint="default"/>
        <w:lang w:val="en-us" w:eastAsia="en-us" w:bidi="en-us"/>
      </w:rPr>
    </w:lvl>
    <w:lvl w:ilvl="3">
      <w:start w:val="0"/>
      <w:numFmt w:val="bullet"/>
      <w:lvlText w:val="•"/>
      <w:lvlJc w:val="left"/>
      <w:pPr>
        <w:ind w:left="3408" w:hanging="443"/>
      </w:pPr>
      <w:rPr>
        <w:rFonts w:hint="default"/>
        <w:lang w:val="en-us" w:eastAsia="en-us" w:bidi="en-us"/>
      </w:rPr>
    </w:lvl>
    <w:lvl w:ilvl="4">
      <w:start w:val="0"/>
      <w:numFmt w:val="bullet"/>
      <w:lvlText w:val="•"/>
      <w:lvlJc w:val="left"/>
      <w:pPr>
        <w:ind w:left="4463" w:hanging="443"/>
      </w:pPr>
      <w:rPr>
        <w:rFonts w:hint="default"/>
        <w:lang w:val="en-us" w:eastAsia="en-us" w:bidi="en-us"/>
      </w:rPr>
    </w:lvl>
    <w:lvl w:ilvl="5">
      <w:start w:val="0"/>
      <w:numFmt w:val="bullet"/>
      <w:lvlText w:val="•"/>
      <w:lvlJc w:val="left"/>
      <w:pPr>
        <w:ind w:left="5517" w:hanging="443"/>
      </w:pPr>
      <w:rPr>
        <w:rFonts w:hint="default"/>
        <w:lang w:val="en-us" w:eastAsia="en-us" w:bidi="en-us"/>
      </w:rPr>
    </w:lvl>
    <w:lvl w:ilvl="6">
      <w:start w:val="0"/>
      <w:numFmt w:val="bullet"/>
      <w:lvlText w:val="•"/>
      <w:lvlJc w:val="left"/>
      <w:pPr>
        <w:ind w:left="6572" w:hanging="443"/>
      </w:pPr>
      <w:rPr>
        <w:rFonts w:hint="default"/>
        <w:lang w:val="en-us" w:eastAsia="en-us" w:bidi="en-us"/>
      </w:rPr>
    </w:lvl>
    <w:lvl w:ilvl="7">
      <w:start w:val="0"/>
      <w:numFmt w:val="bullet"/>
      <w:lvlText w:val="•"/>
      <w:lvlJc w:val="left"/>
      <w:pPr>
        <w:ind w:left="7626" w:hanging="443"/>
      </w:pPr>
      <w:rPr>
        <w:rFonts w:hint="default"/>
        <w:lang w:val="en-us" w:eastAsia="en-us" w:bidi="en-us"/>
      </w:rPr>
    </w:lvl>
    <w:lvl w:ilvl="8">
      <w:start w:val="0"/>
      <w:numFmt w:val="bullet"/>
      <w:lvlText w:val="•"/>
      <w:lvlJc w:val="left"/>
      <w:pPr>
        <w:ind w:left="8681" w:hanging="443"/>
      </w:pPr>
      <w:rPr>
        <w:rFonts w:hint="default"/>
        <w:lang w:val="en-us" w:eastAsia="en-us" w:bidi="en-us"/>
      </w:rPr>
    </w:lvl>
  </w:abstractNum>
  <w:abstractNum w:abstractNumId="32">
    <w:multiLevelType w:val="hybridMultilevel"/>
    <w:lvl w:ilvl="0">
      <w:start w:val="0"/>
      <w:numFmt w:val="bullet"/>
      <w:lvlText w:val="•"/>
      <w:lvlJc w:val="left"/>
      <w:pPr>
        <w:ind w:left="504" w:hanging="360"/>
      </w:pPr>
      <w:rPr>
        <w:rFonts w:hint="default" w:ascii="Arial" w:hAnsi="Arial" w:eastAsia="Arial" w:cs="Arial"/>
        <w:b/>
        <w:bCs/>
        <w:w w:val="119"/>
        <w:sz w:val="20"/>
        <w:szCs w:val="20"/>
        <w:lang w:val="en-us" w:eastAsia="en-us" w:bidi="en-us"/>
      </w:rPr>
    </w:lvl>
    <w:lvl w:ilvl="1">
      <w:start w:val="0"/>
      <w:numFmt w:val="bullet"/>
      <w:lvlText w:val="•"/>
      <w:lvlJc w:val="left"/>
      <w:pPr>
        <w:ind w:left="1529" w:hanging="360"/>
      </w:pPr>
      <w:rPr>
        <w:rFonts w:hint="default"/>
        <w:lang w:val="en-us" w:eastAsia="en-us" w:bidi="en-us"/>
      </w:rPr>
    </w:lvl>
    <w:lvl w:ilvl="2">
      <w:start w:val="0"/>
      <w:numFmt w:val="bullet"/>
      <w:lvlText w:val="•"/>
      <w:lvlJc w:val="left"/>
      <w:pPr>
        <w:ind w:left="2558" w:hanging="360"/>
      </w:pPr>
      <w:rPr>
        <w:rFonts w:hint="default"/>
        <w:lang w:val="en-us" w:eastAsia="en-us" w:bidi="en-us"/>
      </w:rPr>
    </w:lvl>
    <w:lvl w:ilvl="3">
      <w:start w:val="0"/>
      <w:numFmt w:val="bullet"/>
      <w:lvlText w:val="•"/>
      <w:lvlJc w:val="left"/>
      <w:pPr>
        <w:ind w:left="3587" w:hanging="360"/>
      </w:pPr>
      <w:rPr>
        <w:rFonts w:hint="default"/>
        <w:lang w:val="en-us" w:eastAsia="en-us" w:bidi="en-us"/>
      </w:rPr>
    </w:lvl>
    <w:lvl w:ilvl="4">
      <w:start w:val="0"/>
      <w:numFmt w:val="bullet"/>
      <w:lvlText w:val="•"/>
      <w:lvlJc w:val="left"/>
      <w:pPr>
        <w:ind w:left="4616" w:hanging="360"/>
      </w:pPr>
      <w:rPr>
        <w:rFonts w:hint="default"/>
        <w:lang w:val="en-us" w:eastAsia="en-us" w:bidi="en-us"/>
      </w:rPr>
    </w:lvl>
    <w:lvl w:ilvl="5">
      <w:start w:val="0"/>
      <w:numFmt w:val="bullet"/>
      <w:lvlText w:val="•"/>
      <w:lvlJc w:val="left"/>
      <w:pPr>
        <w:ind w:left="5645" w:hanging="360"/>
      </w:pPr>
      <w:rPr>
        <w:rFonts w:hint="default"/>
        <w:lang w:val="en-us" w:eastAsia="en-us" w:bidi="en-us"/>
      </w:rPr>
    </w:lvl>
    <w:lvl w:ilvl="6">
      <w:start w:val="0"/>
      <w:numFmt w:val="bullet"/>
      <w:lvlText w:val="•"/>
      <w:lvlJc w:val="left"/>
      <w:pPr>
        <w:ind w:left="6674" w:hanging="360"/>
      </w:pPr>
      <w:rPr>
        <w:rFonts w:hint="default"/>
        <w:lang w:val="en-us" w:eastAsia="en-us" w:bidi="en-us"/>
      </w:rPr>
    </w:lvl>
    <w:lvl w:ilvl="7">
      <w:start w:val="0"/>
      <w:numFmt w:val="bullet"/>
      <w:lvlText w:val="•"/>
      <w:lvlJc w:val="left"/>
      <w:pPr>
        <w:ind w:left="7703" w:hanging="360"/>
      </w:pPr>
      <w:rPr>
        <w:rFonts w:hint="default"/>
        <w:lang w:val="en-us" w:eastAsia="en-us" w:bidi="en-us"/>
      </w:rPr>
    </w:lvl>
    <w:lvl w:ilvl="8">
      <w:start w:val="0"/>
      <w:numFmt w:val="bullet"/>
      <w:lvlText w:val="•"/>
      <w:lvlJc w:val="left"/>
      <w:pPr>
        <w:ind w:left="8732" w:hanging="360"/>
      </w:pPr>
      <w:rPr>
        <w:rFonts w:hint="default"/>
        <w:lang w:val="en-us" w:eastAsia="en-us" w:bidi="en-us"/>
      </w:rPr>
    </w:lvl>
  </w:abstractNum>
  <w:abstractNum w:abstractNumId="31">
    <w:multiLevelType w:val="hybridMultilevel"/>
    <w:lvl w:ilvl="0">
      <w:start w:val="0"/>
      <w:numFmt w:val="bullet"/>
      <w:lvlText w:val="•"/>
      <w:lvlJc w:val="left"/>
      <w:pPr>
        <w:ind w:left="504" w:hanging="360"/>
      </w:pPr>
      <w:rPr>
        <w:rFonts w:hint="default" w:ascii="Arial" w:hAnsi="Arial" w:eastAsia="Arial" w:cs="Arial"/>
        <w:b/>
        <w:bCs/>
        <w:w w:val="119"/>
        <w:sz w:val="20"/>
        <w:szCs w:val="20"/>
        <w:lang w:val="en-us" w:eastAsia="en-us" w:bidi="en-us"/>
      </w:rPr>
    </w:lvl>
    <w:lvl w:ilvl="1">
      <w:start w:val="0"/>
      <w:numFmt w:val="bullet"/>
      <w:lvlText w:val="•"/>
      <w:lvlJc w:val="left"/>
      <w:pPr>
        <w:ind w:left="1529" w:hanging="360"/>
      </w:pPr>
      <w:rPr>
        <w:rFonts w:hint="default"/>
        <w:lang w:val="en-us" w:eastAsia="en-us" w:bidi="en-us"/>
      </w:rPr>
    </w:lvl>
    <w:lvl w:ilvl="2">
      <w:start w:val="0"/>
      <w:numFmt w:val="bullet"/>
      <w:lvlText w:val="•"/>
      <w:lvlJc w:val="left"/>
      <w:pPr>
        <w:ind w:left="2558" w:hanging="360"/>
      </w:pPr>
      <w:rPr>
        <w:rFonts w:hint="default"/>
        <w:lang w:val="en-us" w:eastAsia="en-us" w:bidi="en-us"/>
      </w:rPr>
    </w:lvl>
    <w:lvl w:ilvl="3">
      <w:start w:val="0"/>
      <w:numFmt w:val="bullet"/>
      <w:lvlText w:val="•"/>
      <w:lvlJc w:val="left"/>
      <w:pPr>
        <w:ind w:left="3587" w:hanging="360"/>
      </w:pPr>
      <w:rPr>
        <w:rFonts w:hint="default"/>
        <w:lang w:val="en-us" w:eastAsia="en-us" w:bidi="en-us"/>
      </w:rPr>
    </w:lvl>
    <w:lvl w:ilvl="4">
      <w:start w:val="0"/>
      <w:numFmt w:val="bullet"/>
      <w:lvlText w:val="•"/>
      <w:lvlJc w:val="left"/>
      <w:pPr>
        <w:ind w:left="4616" w:hanging="360"/>
      </w:pPr>
      <w:rPr>
        <w:rFonts w:hint="default"/>
        <w:lang w:val="en-us" w:eastAsia="en-us" w:bidi="en-us"/>
      </w:rPr>
    </w:lvl>
    <w:lvl w:ilvl="5">
      <w:start w:val="0"/>
      <w:numFmt w:val="bullet"/>
      <w:lvlText w:val="•"/>
      <w:lvlJc w:val="left"/>
      <w:pPr>
        <w:ind w:left="5645" w:hanging="360"/>
      </w:pPr>
      <w:rPr>
        <w:rFonts w:hint="default"/>
        <w:lang w:val="en-us" w:eastAsia="en-us" w:bidi="en-us"/>
      </w:rPr>
    </w:lvl>
    <w:lvl w:ilvl="6">
      <w:start w:val="0"/>
      <w:numFmt w:val="bullet"/>
      <w:lvlText w:val="•"/>
      <w:lvlJc w:val="left"/>
      <w:pPr>
        <w:ind w:left="6674" w:hanging="360"/>
      </w:pPr>
      <w:rPr>
        <w:rFonts w:hint="default"/>
        <w:lang w:val="en-us" w:eastAsia="en-us" w:bidi="en-us"/>
      </w:rPr>
    </w:lvl>
    <w:lvl w:ilvl="7">
      <w:start w:val="0"/>
      <w:numFmt w:val="bullet"/>
      <w:lvlText w:val="•"/>
      <w:lvlJc w:val="left"/>
      <w:pPr>
        <w:ind w:left="7703" w:hanging="360"/>
      </w:pPr>
      <w:rPr>
        <w:rFonts w:hint="default"/>
        <w:lang w:val="en-us" w:eastAsia="en-us" w:bidi="en-us"/>
      </w:rPr>
    </w:lvl>
    <w:lvl w:ilvl="8">
      <w:start w:val="0"/>
      <w:numFmt w:val="bullet"/>
      <w:lvlText w:val="•"/>
      <w:lvlJc w:val="left"/>
      <w:pPr>
        <w:ind w:left="8732" w:hanging="360"/>
      </w:pPr>
      <w:rPr>
        <w:rFonts w:hint="default"/>
        <w:lang w:val="en-us" w:eastAsia="en-us" w:bidi="en-us"/>
      </w:rPr>
    </w:lvl>
  </w:abstractNum>
  <w:abstractNum w:abstractNumId="30">
    <w:multiLevelType w:val="hybridMultilevel"/>
    <w:lvl w:ilvl="0">
      <w:start w:val="0"/>
      <w:numFmt w:val="bullet"/>
      <w:lvlText w:val="•"/>
      <w:lvlJc w:val="left"/>
      <w:pPr>
        <w:ind w:left="504" w:hanging="361"/>
      </w:pPr>
      <w:rPr>
        <w:rFonts w:hint="default" w:ascii="Arial" w:hAnsi="Arial" w:eastAsia="Arial" w:cs="Arial"/>
        <w:b/>
        <w:bCs/>
        <w:w w:val="119"/>
        <w:sz w:val="20"/>
        <w:szCs w:val="20"/>
        <w:lang w:val="en-us" w:eastAsia="en-us" w:bidi="en-us"/>
      </w:rPr>
    </w:lvl>
    <w:lvl w:ilvl="1">
      <w:start w:val="0"/>
      <w:numFmt w:val="bullet"/>
      <w:lvlText w:val="•"/>
      <w:lvlJc w:val="left"/>
      <w:pPr>
        <w:ind w:left="1529" w:hanging="361"/>
      </w:pPr>
      <w:rPr>
        <w:rFonts w:hint="default"/>
        <w:lang w:val="en-us" w:eastAsia="en-us" w:bidi="en-us"/>
      </w:rPr>
    </w:lvl>
    <w:lvl w:ilvl="2">
      <w:start w:val="0"/>
      <w:numFmt w:val="bullet"/>
      <w:lvlText w:val="•"/>
      <w:lvlJc w:val="left"/>
      <w:pPr>
        <w:ind w:left="2558" w:hanging="361"/>
      </w:pPr>
      <w:rPr>
        <w:rFonts w:hint="default"/>
        <w:lang w:val="en-us" w:eastAsia="en-us" w:bidi="en-us"/>
      </w:rPr>
    </w:lvl>
    <w:lvl w:ilvl="3">
      <w:start w:val="0"/>
      <w:numFmt w:val="bullet"/>
      <w:lvlText w:val="•"/>
      <w:lvlJc w:val="left"/>
      <w:pPr>
        <w:ind w:left="3587" w:hanging="361"/>
      </w:pPr>
      <w:rPr>
        <w:rFonts w:hint="default"/>
        <w:lang w:val="en-us" w:eastAsia="en-us" w:bidi="en-us"/>
      </w:rPr>
    </w:lvl>
    <w:lvl w:ilvl="4">
      <w:start w:val="0"/>
      <w:numFmt w:val="bullet"/>
      <w:lvlText w:val="•"/>
      <w:lvlJc w:val="left"/>
      <w:pPr>
        <w:ind w:left="4616" w:hanging="361"/>
      </w:pPr>
      <w:rPr>
        <w:rFonts w:hint="default"/>
        <w:lang w:val="en-us" w:eastAsia="en-us" w:bidi="en-us"/>
      </w:rPr>
    </w:lvl>
    <w:lvl w:ilvl="5">
      <w:start w:val="0"/>
      <w:numFmt w:val="bullet"/>
      <w:lvlText w:val="•"/>
      <w:lvlJc w:val="left"/>
      <w:pPr>
        <w:ind w:left="5645" w:hanging="361"/>
      </w:pPr>
      <w:rPr>
        <w:rFonts w:hint="default"/>
        <w:lang w:val="en-us" w:eastAsia="en-us" w:bidi="en-us"/>
      </w:rPr>
    </w:lvl>
    <w:lvl w:ilvl="6">
      <w:start w:val="0"/>
      <w:numFmt w:val="bullet"/>
      <w:lvlText w:val="•"/>
      <w:lvlJc w:val="left"/>
      <w:pPr>
        <w:ind w:left="6674" w:hanging="361"/>
      </w:pPr>
      <w:rPr>
        <w:rFonts w:hint="default"/>
        <w:lang w:val="en-us" w:eastAsia="en-us" w:bidi="en-us"/>
      </w:rPr>
    </w:lvl>
    <w:lvl w:ilvl="7">
      <w:start w:val="0"/>
      <w:numFmt w:val="bullet"/>
      <w:lvlText w:val="•"/>
      <w:lvlJc w:val="left"/>
      <w:pPr>
        <w:ind w:left="7703" w:hanging="361"/>
      </w:pPr>
      <w:rPr>
        <w:rFonts w:hint="default"/>
        <w:lang w:val="en-us" w:eastAsia="en-us" w:bidi="en-us"/>
      </w:rPr>
    </w:lvl>
    <w:lvl w:ilvl="8">
      <w:start w:val="0"/>
      <w:numFmt w:val="bullet"/>
      <w:lvlText w:val="•"/>
      <w:lvlJc w:val="left"/>
      <w:pPr>
        <w:ind w:left="8732" w:hanging="361"/>
      </w:pPr>
      <w:rPr>
        <w:rFonts w:hint="default"/>
        <w:lang w:val="en-us" w:eastAsia="en-us" w:bidi="en-us"/>
      </w:rPr>
    </w:lvl>
  </w:abstractNum>
  <w:abstractNum w:abstractNumId="29">
    <w:multiLevelType w:val="hybridMultilevel"/>
    <w:lvl w:ilvl="0">
      <w:start w:val="0"/>
      <w:numFmt w:val="bullet"/>
      <w:lvlText w:val="•"/>
      <w:lvlJc w:val="left"/>
      <w:pPr>
        <w:ind w:left="504" w:hanging="360"/>
      </w:pPr>
      <w:rPr>
        <w:rFonts w:hint="default" w:ascii="Arial" w:hAnsi="Arial" w:eastAsia="Arial" w:cs="Arial"/>
        <w:b/>
        <w:bCs/>
        <w:w w:val="119"/>
        <w:sz w:val="20"/>
        <w:szCs w:val="20"/>
        <w:lang w:val="en-us" w:eastAsia="en-us" w:bidi="en-us"/>
      </w:rPr>
    </w:lvl>
    <w:lvl w:ilvl="1">
      <w:start w:val="0"/>
      <w:numFmt w:val="bullet"/>
      <w:lvlText w:val="•"/>
      <w:lvlJc w:val="left"/>
      <w:pPr>
        <w:ind w:left="1529" w:hanging="360"/>
      </w:pPr>
      <w:rPr>
        <w:rFonts w:hint="default"/>
        <w:lang w:val="en-us" w:eastAsia="en-us" w:bidi="en-us"/>
      </w:rPr>
    </w:lvl>
    <w:lvl w:ilvl="2">
      <w:start w:val="0"/>
      <w:numFmt w:val="bullet"/>
      <w:lvlText w:val="•"/>
      <w:lvlJc w:val="left"/>
      <w:pPr>
        <w:ind w:left="2558" w:hanging="360"/>
      </w:pPr>
      <w:rPr>
        <w:rFonts w:hint="default"/>
        <w:lang w:val="en-us" w:eastAsia="en-us" w:bidi="en-us"/>
      </w:rPr>
    </w:lvl>
    <w:lvl w:ilvl="3">
      <w:start w:val="0"/>
      <w:numFmt w:val="bullet"/>
      <w:lvlText w:val="•"/>
      <w:lvlJc w:val="left"/>
      <w:pPr>
        <w:ind w:left="3587" w:hanging="360"/>
      </w:pPr>
      <w:rPr>
        <w:rFonts w:hint="default"/>
        <w:lang w:val="en-us" w:eastAsia="en-us" w:bidi="en-us"/>
      </w:rPr>
    </w:lvl>
    <w:lvl w:ilvl="4">
      <w:start w:val="0"/>
      <w:numFmt w:val="bullet"/>
      <w:lvlText w:val="•"/>
      <w:lvlJc w:val="left"/>
      <w:pPr>
        <w:ind w:left="4616" w:hanging="360"/>
      </w:pPr>
      <w:rPr>
        <w:rFonts w:hint="default"/>
        <w:lang w:val="en-us" w:eastAsia="en-us" w:bidi="en-us"/>
      </w:rPr>
    </w:lvl>
    <w:lvl w:ilvl="5">
      <w:start w:val="0"/>
      <w:numFmt w:val="bullet"/>
      <w:lvlText w:val="•"/>
      <w:lvlJc w:val="left"/>
      <w:pPr>
        <w:ind w:left="5645" w:hanging="360"/>
      </w:pPr>
      <w:rPr>
        <w:rFonts w:hint="default"/>
        <w:lang w:val="en-us" w:eastAsia="en-us" w:bidi="en-us"/>
      </w:rPr>
    </w:lvl>
    <w:lvl w:ilvl="6">
      <w:start w:val="0"/>
      <w:numFmt w:val="bullet"/>
      <w:lvlText w:val="•"/>
      <w:lvlJc w:val="left"/>
      <w:pPr>
        <w:ind w:left="6674" w:hanging="360"/>
      </w:pPr>
      <w:rPr>
        <w:rFonts w:hint="default"/>
        <w:lang w:val="en-us" w:eastAsia="en-us" w:bidi="en-us"/>
      </w:rPr>
    </w:lvl>
    <w:lvl w:ilvl="7">
      <w:start w:val="0"/>
      <w:numFmt w:val="bullet"/>
      <w:lvlText w:val="•"/>
      <w:lvlJc w:val="left"/>
      <w:pPr>
        <w:ind w:left="7703" w:hanging="360"/>
      </w:pPr>
      <w:rPr>
        <w:rFonts w:hint="default"/>
        <w:lang w:val="en-us" w:eastAsia="en-us" w:bidi="en-us"/>
      </w:rPr>
    </w:lvl>
    <w:lvl w:ilvl="8">
      <w:start w:val="0"/>
      <w:numFmt w:val="bullet"/>
      <w:lvlText w:val="•"/>
      <w:lvlJc w:val="left"/>
      <w:pPr>
        <w:ind w:left="8732" w:hanging="360"/>
      </w:pPr>
      <w:rPr>
        <w:rFonts w:hint="default"/>
        <w:lang w:val="en-us" w:eastAsia="en-us" w:bidi="en-us"/>
      </w:rPr>
    </w:lvl>
  </w:abstractNum>
  <w:abstractNum w:abstractNumId="28">
    <w:multiLevelType w:val="hybridMultilevel"/>
    <w:lvl w:ilvl="0">
      <w:start w:val="0"/>
      <w:numFmt w:val="bullet"/>
      <w:lvlText w:val="•"/>
      <w:lvlJc w:val="left"/>
      <w:pPr>
        <w:ind w:left="504" w:hanging="360"/>
      </w:pPr>
      <w:rPr>
        <w:rFonts w:hint="default" w:ascii="Arial" w:hAnsi="Arial" w:eastAsia="Arial" w:cs="Arial"/>
        <w:b/>
        <w:bCs/>
        <w:w w:val="119"/>
        <w:sz w:val="20"/>
        <w:szCs w:val="20"/>
        <w:lang w:val="en-us" w:eastAsia="en-us" w:bidi="en-us"/>
      </w:rPr>
    </w:lvl>
    <w:lvl w:ilvl="1">
      <w:start w:val="0"/>
      <w:numFmt w:val="bullet"/>
      <w:lvlText w:val="•"/>
      <w:lvlJc w:val="left"/>
      <w:pPr>
        <w:ind w:left="1529" w:hanging="360"/>
      </w:pPr>
      <w:rPr>
        <w:rFonts w:hint="default"/>
        <w:lang w:val="en-us" w:eastAsia="en-us" w:bidi="en-us"/>
      </w:rPr>
    </w:lvl>
    <w:lvl w:ilvl="2">
      <w:start w:val="0"/>
      <w:numFmt w:val="bullet"/>
      <w:lvlText w:val="•"/>
      <w:lvlJc w:val="left"/>
      <w:pPr>
        <w:ind w:left="2558" w:hanging="360"/>
      </w:pPr>
      <w:rPr>
        <w:rFonts w:hint="default"/>
        <w:lang w:val="en-us" w:eastAsia="en-us" w:bidi="en-us"/>
      </w:rPr>
    </w:lvl>
    <w:lvl w:ilvl="3">
      <w:start w:val="0"/>
      <w:numFmt w:val="bullet"/>
      <w:lvlText w:val="•"/>
      <w:lvlJc w:val="left"/>
      <w:pPr>
        <w:ind w:left="3587" w:hanging="360"/>
      </w:pPr>
      <w:rPr>
        <w:rFonts w:hint="default"/>
        <w:lang w:val="en-us" w:eastAsia="en-us" w:bidi="en-us"/>
      </w:rPr>
    </w:lvl>
    <w:lvl w:ilvl="4">
      <w:start w:val="0"/>
      <w:numFmt w:val="bullet"/>
      <w:lvlText w:val="•"/>
      <w:lvlJc w:val="left"/>
      <w:pPr>
        <w:ind w:left="4616" w:hanging="360"/>
      </w:pPr>
      <w:rPr>
        <w:rFonts w:hint="default"/>
        <w:lang w:val="en-us" w:eastAsia="en-us" w:bidi="en-us"/>
      </w:rPr>
    </w:lvl>
    <w:lvl w:ilvl="5">
      <w:start w:val="0"/>
      <w:numFmt w:val="bullet"/>
      <w:lvlText w:val="•"/>
      <w:lvlJc w:val="left"/>
      <w:pPr>
        <w:ind w:left="5645" w:hanging="360"/>
      </w:pPr>
      <w:rPr>
        <w:rFonts w:hint="default"/>
        <w:lang w:val="en-us" w:eastAsia="en-us" w:bidi="en-us"/>
      </w:rPr>
    </w:lvl>
    <w:lvl w:ilvl="6">
      <w:start w:val="0"/>
      <w:numFmt w:val="bullet"/>
      <w:lvlText w:val="•"/>
      <w:lvlJc w:val="left"/>
      <w:pPr>
        <w:ind w:left="6674" w:hanging="360"/>
      </w:pPr>
      <w:rPr>
        <w:rFonts w:hint="default"/>
        <w:lang w:val="en-us" w:eastAsia="en-us" w:bidi="en-us"/>
      </w:rPr>
    </w:lvl>
    <w:lvl w:ilvl="7">
      <w:start w:val="0"/>
      <w:numFmt w:val="bullet"/>
      <w:lvlText w:val="•"/>
      <w:lvlJc w:val="left"/>
      <w:pPr>
        <w:ind w:left="7703" w:hanging="360"/>
      </w:pPr>
      <w:rPr>
        <w:rFonts w:hint="default"/>
        <w:lang w:val="en-us" w:eastAsia="en-us" w:bidi="en-us"/>
      </w:rPr>
    </w:lvl>
    <w:lvl w:ilvl="8">
      <w:start w:val="0"/>
      <w:numFmt w:val="bullet"/>
      <w:lvlText w:val="•"/>
      <w:lvlJc w:val="left"/>
      <w:pPr>
        <w:ind w:left="8732" w:hanging="360"/>
      </w:pPr>
      <w:rPr>
        <w:rFonts w:hint="default"/>
        <w:lang w:val="en-us" w:eastAsia="en-us" w:bidi="en-us"/>
      </w:rPr>
    </w:lvl>
  </w:abstractNum>
  <w:abstractNum w:abstractNumId="27">
    <w:multiLevelType w:val="hybridMultilevel"/>
    <w:lvl w:ilvl="0">
      <w:start w:val="16"/>
      <w:numFmt w:val="decimal"/>
      <w:lvlText w:val="%1"/>
      <w:lvlJc w:val="left"/>
      <w:pPr>
        <w:ind w:left="560" w:hanging="420"/>
        <w:jc w:val="left"/>
      </w:pPr>
      <w:rPr>
        <w:rFonts w:hint="default" w:ascii="Arial" w:hAnsi="Arial" w:eastAsia="Arial" w:cs="Arial"/>
        <w:b/>
        <w:bCs/>
        <w:w w:val="89"/>
        <w:sz w:val="16"/>
        <w:szCs w:val="16"/>
        <w:lang w:val="en-us" w:eastAsia="en-us" w:bidi="en-us"/>
      </w:rPr>
    </w:lvl>
    <w:lvl w:ilvl="1">
      <w:start w:val="1"/>
      <w:numFmt w:val="decimal"/>
      <w:lvlText w:val="%1.%2"/>
      <w:lvlJc w:val="left"/>
      <w:pPr>
        <w:ind w:left="560" w:hanging="420"/>
        <w:jc w:val="left"/>
      </w:pPr>
      <w:rPr>
        <w:rFonts w:hint="default" w:ascii="Arial" w:hAnsi="Arial" w:eastAsia="Arial" w:cs="Arial"/>
        <w:b/>
        <w:bCs/>
        <w:w w:val="94"/>
        <w:sz w:val="16"/>
        <w:szCs w:val="16"/>
        <w:lang w:val="en-us" w:eastAsia="en-us" w:bidi="en-us"/>
      </w:rPr>
    </w:lvl>
    <w:lvl w:ilvl="2">
      <w:start w:val="0"/>
      <w:numFmt w:val="bullet"/>
      <w:lvlText w:val="•"/>
      <w:lvlJc w:val="left"/>
      <w:pPr>
        <w:ind w:left="860" w:hanging="420"/>
      </w:pPr>
      <w:rPr>
        <w:rFonts w:hint="default" w:ascii="Arial" w:hAnsi="Arial" w:eastAsia="Arial" w:cs="Arial"/>
        <w:w w:val="95"/>
        <w:sz w:val="16"/>
        <w:szCs w:val="16"/>
        <w:lang w:val="en-us" w:eastAsia="en-us" w:bidi="en-us"/>
      </w:rPr>
    </w:lvl>
    <w:lvl w:ilvl="3">
      <w:start w:val="0"/>
      <w:numFmt w:val="bullet"/>
      <w:lvlText w:val="•"/>
      <w:lvlJc w:val="left"/>
      <w:pPr>
        <w:ind w:left="1882" w:hanging="420"/>
      </w:pPr>
      <w:rPr>
        <w:rFonts w:hint="default"/>
        <w:lang w:val="en-us" w:eastAsia="en-us" w:bidi="en-us"/>
      </w:rPr>
    </w:lvl>
    <w:lvl w:ilvl="4">
      <w:start w:val="0"/>
      <w:numFmt w:val="bullet"/>
      <w:lvlText w:val="•"/>
      <w:lvlJc w:val="left"/>
      <w:pPr>
        <w:ind w:left="2393" w:hanging="420"/>
      </w:pPr>
      <w:rPr>
        <w:rFonts w:hint="default"/>
        <w:lang w:val="en-us" w:eastAsia="en-us" w:bidi="en-us"/>
      </w:rPr>
    </w:lvl>
    <w:lvl w:ilvl="5">
      <w:start w:val="0"/>
      <w:numFmt w:val="bullet"/>
      <w:lvlText w:val="•"/>
      <w:lvlJc w:val="left"/>
      <w:pPr>
        <w:ind w:left="2905" w:hanging="420"/>
      </w:pPr>
      <w:rPr>
        <w:rFonts w:hint="default"/>
        <w:lang w:val="en-us" w:eastAsia="en-us" w:bidi="en-us"/>
      </w:rPr>
    </w:lvl>
    <w:lvl w:ilvl="6">
      <w:start w:val="0"/>
      <w:numFmt w:val="bullet"/>
      <w:lvlText w:val="•"/>
      <w:lvlJc w:val="left"/>
      <w:pPr>
        <w:ind w:left="3416" w:hanging="420"/>
      </w:pPr>
      <w:rPr>
        <w:rFonts w:hint="default"/>
        <w:lang w:val="en-us" w:eastAsia="en-us" w:bidi="en-us"/>
      </w:rPr>
    </w:lvl>
    <w:lvl w:ilvl="7">
      <w:start w:val="0"/>
      <w:numFmt w:val="bullet"/>
      <w:lvlText w:val="•"/>
      <w:lvlJc w:val="left"/>
      <w:pPr>
        <w:ind w:left="3927" w:hanging="420"/>
      </w:pPr>
      <w:rPr>
        <w:rFonts w:hint="default"/>
        <w:lang w:val="en-us" w:eastAsia="en-us" w:bidi="en-us"/>
      </w:rPr>
    </w:lvl>
    <w:lvl w:ilvl="8">
      <w:start w:val="0"/>
      <w:numFmt w:val="bullet"/>
      <w:lvlText w:val="•"/>
      <w:lvlJc w:val="left"/>
      <w:pPr>
        <w:ind w:left="4438" w:hanging="420"/>
      </w:pPr>
      <w:rPr>
        <w:rFonts w:hint="default"/>
        <w:lang w:val="en-us" w:eastAsia="en-us" w:bidi="en-us"/>
      </w:rPr>
    </w:lvl>
  </w:abstractNum>
  <w:abstractNum w:abstractNumId="26">
    <w:multiLevelType w:val="hybridMultilevel"/>
    <w:lvl w:ilvl="0">
      <w:start w:val="1"/>
      <w:numFmt w:val="decimal"/>
      <w:lvlText w:val="%1)"/>
      <w:lvlJc w:val="left"/>
      <w:pPr>
        <w:ind w:left="499" w:hanging="360"/>
        <w:jc w:val="left"/>
      </w:pPr>
      <w:rPr>
        <w:rFonts w:hint="default" w:ascii="Arial" w:hAnsi="Arial" w:eastAsia="Arial" w:cs="Arial"/>
        <w:spacing w:val="-1"/>
        <w:w w:val="93"/>
        <w:sz w:val="16"/>
        <w:szCs w:val="16"/>
        <w:lang w:val="en-us" w:eastAsia="en-us" w:bidi="en-us"/>
      </w:rPr>
    </w:lvl>
    <w:lvl w:ilvl="1">
      <w:start w:val="1"/>
      <w:numFmt w:val="lowerLetter"/>
      <w:lvlText w:val="%2."/>
      <w:lvlJc w:val="left"/>
      <w:pPr>
        <w:ind w:left="1147" w:hanging="288"/>
        <w:jc w:val="left"/>
      </w:pPr>
      <w:rPr>
        <w:rFonts w:hint="default" w:ascii="Arial" w:hAnsi="Arial" w:eastAsia="Arial" w:cs="Arial"/>
        <w:spacing w:val="-1"/>
        <w:w w:val="83"/>
        <w:sz w:val="16"/>
        <w:szCs w:val="16"/>
        <w:lang w:val="en-us" w:eastAsia="en-us" w:bidi="en-us"/>
      </w:rPr>
    </w:lvl>
    <w:lvl w:ilvl="2">
      <w:start w:val="0"/>
      <w:numFmt w:val="bullet"/>
      <w:lvlText w:val="•"/>
      <w:lvlJc w:val="left"/>
      <w:pPr>
        <w:ind w:left="1695" w:hanging="288"/>
      </w:pPr>
      <w:rPr>
        <w:rFonts w:hint="default"/>
        <w:lang w:val="en-us" w:eastAsia="en-us" w:bidi="en-us"/>
      </w:rPr>
    </w:lvl>
    <w:lvl w:ilvl="3">
      <w:start w:val="0"/>
      <w:numFmt w:val="bullet"/>
      <w:lvlText w:val="•"/>
      <w:lvlJc w:val="left"/>
      <w:pPr>
        <w:ind w:left="2251" w:hanging="288"/>
      </w:pPr>
      <w:rPr>
        <w:rFonts w:hint="default"/>
        <w:lang w:val="en-us" w:eastAsia="en-us" w:bidi="en-us"/>
      </w:rPr>
    </w:lvl>
    <w:lvl w:ilvl="4">
      <w:start w:val="0"/>
      <w:numFmt w:val="bullet"/>
      <w:lvlText w:val="•"/>
      <w:lvlJc w:val="left"/>
      <w:pPr>
        <w:ind w:left="2806" w:hanging="288"/>
      </w:pPr>
      <w:rPr>
        <w:rFonts w:hint="default"/>
        <w:lang w:val="en-us" w:eastAsia="en-us" w:bidi="en-us"/>
      </w:rPr>
    </w:lvl>
    <w:lvl w:ilvl="5">
      <w:start w:val="0"/>
      <w:numFmt w:val="bullet"/>
      <w:lvlText w:val="•"/>
      <w:lvlJc w:val="left"/>
      <w:pPr>
        <w:ind w:left="3362" w:hanging="288"/>
      </w:pPr>
      <w:rPr>
        <w:rFonts w:hint="default"/>
        <w:lang w:val="en-us" w:eastAsia="en-us" w:bidi="en-us"/>
      </w:rPr>
    </w:lvl>
    <w:lvl w:ilvl="6">
      <w:start w:val="0"/>
      <w:numFmt w:val="bullet"/>
      <w:lvlText w:val="•"/>
      <w:lvlJc w:val="left"/>
      <w:pPr>
        <w:ind w:left="3917" w:hanging="288"/>
      </w:pPr>
      <w:rPr>
        <w:rFonts w:hint="default"/>
        <w:lang w:val="en-us" w:eastAsia="en-us" w:bidi="en-us"/>
      </w:rPr>
    </w:lvl>
    <w:lvl w:ilvl="7">
      <w:start w:val="0"/>
      <w:numFmt w:val="bullet"/>
      <w:lvlText w:val="•"/>
      <w:lvlJc w:val="left"/>
      <w:pPr>
        <w:ind w:left="4473" w:hanging="288"/>
      </w:pPr>
      <w:rPr>
        <w:rFonts w:hint="default"/>
        <w:lang w:val="en-us" w:eastAsia="en-us" w:bidi="en-us"/>
      </w:rPr>
    </w:lvl>
    <w:lvl w:ilvl="8">
      <w:start w:val="0"/>
      <w:numFmt w:val="bullet"/>
      <w:lvlText w:val="•"/>
      <w:lvlJc w:val="left"/>
      <w:pPr>
        <w:ind w:left="5028" w:hanging="288"/>
      </w:pPr>
      <w:rPr>
        <w:rFonts w:hint="default"/>
        <w:lang w:val="en-us" w:eastAsia="en-us" w:bidi="en-us"/>
      </w:rPr>
    </w:lvl>
  </w:abstractNum>
  <w:abstractNum w:abstractNumId="24">
    <w:multiLevelType w:val="hybridMultilevel"/>
    <w:lvl w:ilvl="0">
      <w:start w:val="12"/>
      <w:numFmt w:val="decimal"/>
      <w:lvlText w:val="%1"/>
      <w:lvlJc w:val="left"/>
      <w:pPr>
        <w:ind w:left="560" w:hanging="420"/>
        <w:jc w:val="left"/>
      </w:pPr>
      <w:rPr>
        <w:rFonts w:hint="default" w:ascii="Arial" w:hAnsi="Arial" w:eastAsia="Arial" w:cs="Arial"/>
        <w:b/>
        <w:bCs/>
        <w:w w:val="89"/>
        <w:sz w:val="16"/>
        <w:szCs w:val="16"/>
        <w:lang w:val="en-us" w:eastAsia="en-us" w:bidi="en-us"/>
      </w:rPr>
    </w:lvl>
    <w:lvl w:ilvl="1">
      <w:start w:val="1"/>
      <w:numFmt w:val="decimal"/>
      <w:lvlText w:val="%1.%2"/>
      <w:lvlJc w:val="left"/>
      <w:pPr>
        <w:ind w:left="560" w:hanging="420"/>
        <w:jc w:val="left"/>
      </w:pPr>
      <w:rPr>
        <w:rFonts w:hint="default" w:ascii="Arial" w:hAnsi="Arial" w:eastAsia="Arial" w:cs="Arial"/>
        <w:b/>
        <w:bCs/>
        <w:w w:val="94"/>
        <w:sz w:val="16"/>
        <w:szCs w:val="16"/>
        <w:lang w:val="en-us" w:eastAsia="en-us" w:bidi="en-us"/>
      </w:rPr>
    </w:lvl>
    <w:lvl w:ilvl="2">
      <w:start w:val="0"/>
      <w:numFmt w:val="bullet"/>
      <w:lvlText w:val="•"/>
      <w:lvlJc w:val="left"/>
      <w:pPr>
        <w:ind w:left="491" w:hanging="420"/>
      </w:pPr>
      <w:rPr>
        <w:rFonts w:hint="default"/>
        <w:lang w:val="en-us" w:eastAsia="en-us" w:bidi="en-us"/>
      </w:rPr>
    </w:lvl>
    <w:lvl w:ilvl="3">
      <w:start w:val="0"/>
      <w:numFmt w:val="bullet"/>
      <w:lvlText w:val="•"/>
      <w:lvlJc w:val="left"/>
      <w:pPr>
        <w:ind w:left="422" w:hanging="420"/>
      </w:pPr>
      <w:rPr>
        <w:rFonts w:hint="default"/>
        <w:lang w:val="en-us" w:eastAsia="en-us" w:bidi="en-us"/>
      </w:rPr>
    </w:lvl>
    <w:lvl w:ilvl="4">
      <w:start w:val="0"/>
      <w:numFmt w:val="bullet"/>
      <w:lvlText w:val="•"/>
      <w:lvlJc w:val="left"/>
      <w:pPr>
        <w:ind w:left="353" w:hanging="420"/>
      </w:pPr>
      <w:rPr>
        <w:rFonts w:hint="default"/>
        <w:lang w:val="en-us" w:eastAsia="en-us" w:bidi="en-us"/>
      </w:rPr>
    </w:lvl>
    <w:lvl w:ilvl="5">
      <w:start w:val="0"/>
      <w:numFmt w:val="bullet"/>
      <w:lvlText w:val="•"/>
      <w:lvlJc w:val="left"/>
      <w:pPr>
        <w:ind w:left="284" w:hanging="420"/>
      </w:pPr>
      <w:rPr>
        <w:rFonts w:hint="default"/>
        <w:lang w:val="en-us" w:eastAsia="en-us" w:bidi="en-us"/>
      </w:rPr>
    </w:lvl>
    <w:lvl w:ilvl="6">
      <w:start w:val="0"/>
      <w:numFmt w:val="bullet"/>
      <w:lvlText w:val="•"/>
      <w:lvlJc w:val="left"/>
      <w:pPr>
        <w:ind w:left="215" w:hanging="420"/>
      </w:pPr>
      <w:rPr>
        <w:rFonts w:hint="default"/>
        <w:lang w:val="en-us" w:eastAsia="en-us" w:bidi="en-us"/>
      </w:rPr>
    </w:lvl>
    <w:lvl w:ilvl="7">
      <w:start w:val="0"/>
      <w:numFmt w:val="bullet"/>
      <w:lvlText w:val="•"/>
      <w:lvlJc w:val="left"/>
      <w:pPr>
        <w:ind w:left="146" w:hanging="420"/>
      </w:pPr>
      <w:rPr>
        <w:rFonts w:hint="default"/>
        <w:lang w:val="en-us" w:eastAsia="en-us" w:bidi="en-us"/>
      </w:rPr>
    </w:lvl>
    <w:lvl w:ilvl="8">
      <w:start w:val="0"/>
      <w:numFmt w:val="bullet"/>
      <w:lvlText w:val="•"/>
      <w:lvlJc w:val="left"/>
      <w:pPr>
        <w:ind w:left="77" w:hanging="420"/>
      </w:pPr>
      <w:rPr>
        <w:rFonts w:hint="default"/>
        <w:lang w:val="en-us" w:eastAsia="en-us" w:bidi="en-us"/>
      </w:rPr>
    </w:lvl>
  </w:abstractNum>
  <w:abstractNum w:abstractNumId="23">
    <w:multiLevelType w:val="hybridMultilevel"/>
    <w:lvl w:ilvl="0">
      <w:start w:val="12"/>
      <w:numFmt w:val="decimal"/>
      <w:lvlText w:val="%1"/>
      <w:lvlJc w:val="left"/>
      <w:pPr>
        <w:ind w:left="560" w:hanging="420"/>
        <w:jc w:val="left"/>
      </w:pPr>
      <w:rPr>
        <w:rFonts w:hint="default"/>
        <w:lang w:val="en-us" w:eastAsia="en-us" w:bidi="en-us"/>
      </w:rPr>
    </w:lvl>
    <w:lvl w:ilvl="1">
      <w:start w:val="2"/>
      <w:numFmt w:val="decimal"/>
      <w:lvlText w:val="%1.%2"/>
      <w:lvlJc w:val="left"/>
      <w:pPr>
        <w:ind w:left="560" w:hanging="420"/>
        <w:jc w:val="left"/>
      </w:pPr>
      <w:rPr>
        <w:rFonts w:hint="default" w:ascii="Arial" w:hAnsi="Arial" w:eastAsia="Arial" w:cs="Arial"/>
        <w:b/>
        <w:bCs/>
        <w:w w:val="94"/>
        <w:sz w:val="16"/>
        <w:szCs w:val="16"/>
        <w:lang w:val="en-us" w:eastAsia="en-us" w:bidi="en-us"/>
      </w:rPr>
    </w:lvl>
    <w:lvl w:ilvl="2">
      <w:start w:val="0"/>
      <w:numFmt w:val="bullet"/>
      <w:lvlText w:val="•"/>
      <w:lvlJc w:val="left"/>
      <w:pPr>
        <w:ind w:left="1676" w:hanging="420"/>
      </w:pPr>
      <w:rPr>
        <w:rFonts w:hint="default"/>
        <w:lang w:val="en-us" w:eastAsia="en-us" w:bidi="en-us"/>
      </w:rPr>
    </w:lvl>
    <w:lvl w:ilvl="3">
      <w:start w:val="0"/>
      <w:numFmt w:val="bullet"/>
      <w:lvlText w:val="•"/>
      <w:lvlJc w:val="left"/>
      <w:pPr>
        <w:ind w:left="2234" w:hanging="420"/>
      </w:pPr>
      <w:rPr>
        <w:rFonts w:hint="default"/>
        <w:lang w:val="en-us" w:eastAsia="en-us" w:bidi="en-us"/>
      </w:rPr>
    </w:lvl>
    <w:lvl w:ilvl="4">
      <w:start w:val="0"/>
      <w:numFmt w:val="bullet"/>
      <w:lvlText w:val="•"/>
      <w:lvlJc w:val="left"/>
      <w:pPr>
        <w:ind w:left="2792" w:hanging="420"/>
      </w:pPr>
      <w:rPr>
        <w:rFonts w:hint="default"/>
        <w:lang w:val="en-us" w:eastAsia="en-us" w:bidi="en-us"/>
      </w:rPr>
    </w:lvl>
    <w:lvl w:ilvl="5">
      <w:start w:val="0"/>
      <w:numFmt w:val="bullet"/>
      <w:lvlText w:val="•"/>
      <w:lvlJc w:val="left"/>
      <w:pPr>
        <w:ind w:left="3350" w:hanging="420"/>
      </w:pPr>
      <w:rPr>
        <w:rFonts w:hint="default"/>
        <w:lang w:val="en-us" w:eastAsia="en-us" w:bidi="en-us"/>
      </w:rPr>
    </w:lvl>
    <w:lvl w:ilvl="6">
      <w:start w:val="0"/>
      <w:numFmt w:val="bullet"/>
      <w:lvlText w:val="•"/>
      <w:lvlJc w:val="left"/>
      <w:pPr>
        <w:ind w:left="3908" w:hanging="420"/>
      </w:pPr>
      <w:rPr>
        <w:rFonts w:hint="default"/>
        <w:lang w:val="en-us" w:eastAsia="en-us" w:bidi="en-us"/>
      </w:rPr>
    </w:lvl>
    <w:lvl w:ilvl="7">
      <w:start w:val="0"/>
      <w:numFmt w:val="bullet"/>
      <w:lvlText w:val="•"/>
      <w:lvlJc w:val="left"/>
      <w:pPr>
        <w:ind w:left="4466" w:hanging="420"/>
      </w:pPr>
      <w:rPr>
        <w:rFonts w:hint="default"/>
        <w:lang w:val="en-us" w:eastAsia="en-us" w:bidi="en-us"/>
      </w:rPr>
    </w:lvl>
    <w:lvl w:ilvl="8">
      <w:start w:val="0"/>
      <w:numFmt w:val="bullet"/>
      <w:lvlText w:val="•"/>
      <w:lvlJc w:val="left"/>
      <w:pPr>
        <w:ind w:left="5024" w:hanging="420"/>
      </w:pPr>
      <w:rPr>
        <w:rFonts w:hint="default"/>
        <w:lang w:val="en-us" w:eastAsia="en-us" w:bidi="en-us"/>
      </w:rPr>
    </w:lvl>
  </w:abstractNum>
  <w:abstractNum w:abstractNumId="22">
    <w:multiLevelType w:val="hybridMultilevel"/>
    <w:lvl w:ilvl="0">
      <w:start w:val="10"/>
      <w:numFmt w:val="decimal"/>
      <w:lvlText w:val="%1"/>
      <w:lvlJc w:val="left"/>
      <w:pPr>
        <w:ind w:left="560" w:hanging="420"/>
        <w:jc w:val="left"/>
      </w:pPr>
      <w:rPr>
        <w:rFonts w:hint="default" w:ascii="Arial" w:hAnsi="Arial" w:eastAsia="Arial" w:cs="Arial"/>
        <w:b/>
        <w:bCs/>
        <w:w w:val="89"/>
        <w:sz w:val="16"/>
        <w:szCs w:val="16"/>
        <w:lang w:val="en-us" w:eastAsia="en-us" w:bidi="en-us"/>
      </w:rPr>
    </w:lvl>
    <w:lvl w:ilvl="1">
      <w:start w:val="1"/>
      <w:numFmt w:val="decimal"/>
      <w:lvlText w:val="%1.%2"/>
      <w:lvlJc w:val="left"/>
      <w:pPr>
        <w:ind w:left="560" w:hanging="420"/>
        <w:jc w:val="left"/>
      </w:pPr>
      <w:rPr>
        <w:rFonts w:hint="default" w:ascii="Arial" w:hAnsi="Arial" w:eastAsia="Arial" w:cs="Arial"/>
        <w:b/>
        <w:bCs/>
        <w:w w:val="94"/>
        <w:sz w:val="16"/>
        <w:szCs w:val="16"/>
        <w:lang w:val="en-us" w:eastAsia="en-us" w:bidi="en-us"/>
      </w:rPr>
    </w:lvl>
    <w:lvl w:ilvl="2">
      <w:start w:val="0"/>
      <w:numFmt w:val="bullet"/>
      <w:lvlText w:val="•"/>
      <w:lvlJc w:val="left"/>
      <w:pPr>
        <w:ind w:left="1540" w:hanging="420"/>
      </w:pPr>
      <w:rPr>
        <w:rFonts w:hint="default"/>
        <w:lang w:val="en-us" w:eastAsia="en-us" w:bidi="en-us"/>
      </w:rPr>
    </w:lvl>
    <w:lvl w:ilvl="3">
      <w:start w:val="0"/>
      <w:numFmt w:val="bullet"/>
      <w:lvlText w:val="•"/>
      <w:lvlJc w:val="left"/>
      <w:pPr>
        <w:ind w:left="2030" w:hanging="420"/>
      </w:pPr>
      <w:rPr>
        <w:rFonts w:hint="default"/>
        <w:lang w:val="en-us" w:eastAsia="en-us" w:bidi="en-us"/>
      </w:rPr>
    </w:lvl>
    <w:lvl w:ilvl="4">
      <w:start w:val="0"/>
      <w:numFmt w:val="bullet"/>
      <w:lvlText w:val="•"/>
      <w:lvlJc w:val="left"/>
      <w:pPr>
        <w:ind w:left="2520" w:hanging="420"/>
      </w:pPr>
      <w:rPr>
        <w:rFonts w:hint="default"/>
        <w:lang w:val="en-us" w:eastAsia="en-us" w:bidi="en-us"/>
      </w:rPr>
    </w:lvl>
    <w:lvl w:ilvl="5">
      <w:start w:val="0"/>
      <w:numFmt w:val="bullet"/>
      <w:lvlText w:val="•"/>
      <w:lvlJc w:val="left"/>
      <w:pPr>
        <w:ind w:left="3010" w:hanging="420"/>
      </w:pPr>
      <w:rPr>
        <w:rFonts w:hint="default"/>
        <w:lang w:val="en-us" w:eastAsia="en-us" w:bidi="en-us"/>
      </w:rPr>
    </w:lvl>
    <w:lvl w:ilvl="6">
      <w:start w:val="0"/>
      <w:numFmt w:val="bullet"/>
      <w:lvlText w:val="•"/>
      <w:lvlJc w:val="left"/>
      <w:pPr>
        <w:ind w:left="3500" w:hanging="420"/>
      </w:pPr>
      <w:rPr>
        <w:rFonts w:hint="default"/>
        <w:lang w:val="en-us" w:eastAsia="en-us" w:bidi="en-us"/>
      </w:rPr>
    </w:lvl>
    <w:lvl w:ilvl="7">
      <w:start w:val="0"/>
      <w:numFmt w:val="bullet"/>
      <w:lvlText w:val="•"/>
      <w:lvlJc w:val="left"/>
      <w:pPr>
        <w:ind w:left="3991" w:hanging="420"/>
      </w:pPr>
      <w:rPr>
        <w:rFonts w:hint="default"/>
        <w:lang w:val="en-us" w:eastAsia="en-us" w:bidi="en-us"/>
      </w:rPr>
    </w:lvl>
    <w:lvl w:ilvl="8">
      <w:start w:val="0"/>
      <w:numFmt w:val="bullet"/>
      <w:lvlText w:val="•"/>
      <w:lvlJc w:val="left"/>
      <w:pPr>
        <w:ind w:left="4481" w:hanging="420"/>
      </w:pPr>
      <w:rPr>
        <w:rFonts w:hint="default"/>
        <w:lang w:val="en-us" w:eastAsia="en-us" w:bidi="en-us"/>
      </w:rPr>
    </w:lvl>
  </w:abstractNum>
  <w:abstractNum w:abstractNumId="21">
    <w:multiLevelType w:val="hybridMultilevel"/>
    <w:lvl w:ilvl="0">
      <w:start w:val="8"/>
      <w:numFmt w:val="decimal"/>
      <w:lvlText w:val="%1"/>
      <w:lvlJc w:val="left"/>
      <w:pPr>
        <w:ind w:left="560" w:hanging="420"/>
        <w:jc w:val="left"/>
      </w:pPr>
      <w:rPr>
        <w:rFonts w:hint="default"/>
        <w:lang w:val="en-us" w:eastAsia="en-us" w:bidi="en-us"/>
      </w:rPr>
    </w:lvl>
    <w:lvl w:ilvl="1">
      <w:start w:val="4"/>
      <w:numFmt w:val="decimal"/>
      <w:lvlText w:val="%1.%2"/>
      <w:lvlJc w:val="left"/>
      <w:pPr>
        <w:ind w:left="560" w:hanging="420"/>
        <w:jc w:val="left"/>
      </w:pPr>
      <w:rPr>
        <w:rFonts w:hint="default" w:ascii="Arial" w:hAnsi="Arial" w:eastAsia="Arial" w:cs="Arial"/>
        <w:b/>
        <w:bCs/>
        <w:w w:val="95"/>
        <w:sz w:val="16"/>
        <w:szCs w:val="16"/>
        <w:lang w:val="en-us" w:eastAsia="en-us" w:bidi="en-us"/>
      </w:rPr>
    </w:lvl>
    <w:lvl w:ilvl="2">
      <w:start w:val="0"/>
      <w:numFmt w:val="bullet"/>
      <w:lvlText w:val="•"/>
      <w:lvlJc w:val="left"/>
      <w:pPr>
        <w:ind w:left="1676" w:hanging="420"/>
      </w:pPr>
      <w:rPr>
        <w:rFonts w:hint="default"/>
        <w:lang w:val="en-us" w:eastAsia="en-us" w:bidi="en-us"/>
      </w:rPr>
    </w:lvl>
    <w:lvl w:ilvl="3">
      <w:start w:val="0"/>
      <w:numFmt w:val="bullet"/>
      <w:lvlText w:val="•"/>
      <w:lvlJc w:val="left"/>
      <w:pPr>
        <w:ind w:left="2234" w:hanging="420"/>
      </w:pPr>
      <w:rPr>
        <w:rFonts w:hint="default"/>
        <w:lang w:val="en-us" w:eastAsia="en-us" w:bidi="en-us"/>
      </w:rPr>
    </w:lvl>
    <w:lvl w:ilvl="4">
      <w:start w:val="0"/>
      <w:numFmt w:val="bullet"/>
      <w:lvlText w:val="•"/>
      <w:lvlJc w:val="left"/>
      <w:pPr>
        <w:ind w:left="2792" w:hanging="420"/>
      </w:pPr>
      <w:rPr>
        <w:rFonts w:hint="default"/>
        <w:lang w:val="en-us" w:eastAsia="en-us" w:bidi="en-us"/>
      </w:rPr>
    </w:lvl>
    <w:lvl w:ilvl="5">
      <w:start w:val="0"/>
      <w:numFmt w:val="bullet"/>
      <w:lvlText w:val="•"/>
      <w:lvlJc w:val="left"/>
      <w:pPr>
        <w:ind w:left="3350" w:hanging="420"/>
      </w:pPr>
      <w:rPr>
        <w:rFonts w:hint="default"/>
        <w:lang w:val="en-us" w:eastAsia="en-us" w:bidi="en-us"/>
      </w:rPr>
    </w:lvl>
    <w:lvl w:ilvl="6">
      <w:start w:val="0"/>
      <w:numFmt w:val="bullet"/>
      <w:lvlText w:val="•"/>
      <w:lvlJc w:val="left"/>
      <w:pPr>
        <w:ind w:left="3908" w:hanging="420"/>
      </w:pPr>
      <w:rPr>
        <w:rFonts w:hint="default"/>
        <w:lang w:val="en-us" w:eastAsia="en-us" w:bidi="en-us"/>
      </w:rPr>
    </w:lvl>
    <w:lvl w:ilvl="7">
      <w:start w:val="0"/>
      <w:numFmt w:val="bullet"/>
      <w:lvlText w:val="•"/>
      <w:lvlJc w:val="left"/>
      <w:pPr>
        <w:ind w:left="4466" w:hanging="420"/>
      </w:pPr>
      <w:rPr>
        <w:rFonts w:hint="default"/>
        <w:lang w:val="en-us" w:eastAsia="en-us" w:bidi="en-us"/>
      </w:rPr>
    </w:lvl>
    <w:lvl w:ilvl="8">
      <w:start w:val="0"/>
      <w:numFmt w:val="bullet"/>
      <w:lvlText w:val="•"/>
      <w:lvlJc w:val="left"/>
      <w:pPr>
        <w:ind w:left="5024" w:hanging="420"/>
      </w:pPr>
      <w:rPr>
        <w:rFonts w:hint="default"/>
        <w:lang w:val="en-us" w:eastAsia="en-us" w:bidi="en-us"/>
      </w:rPr>
    </w:lvl>
  </w:abstractNum>
  <w:abstractNum w:abstractNumId="20">
    <w:multiLevelType w:val="hybridMultilevel"/>
    <w:lvl w:ilvl="0">
      <w:start w:val="0"/>
      <w:numFmt w:val="bullet"/>
      <w:lvlText w:val="•"/>
      <w:lvlJc w:val="left"/>
      <w:pPr>
        <w:ind w:left="439" w:hanging="210"/>
      </w:pPr>
      <w:rPr>
        <w:rFonts w:hint="default" w:ascii="Arial" w:hAnsi="Arial" w:eastAsia="Arial" w:cs="Arial"/>
        <w:b/>
        <w:bCs/>
        <w:w w:val="119"/>
        <w:sz w:val="16"/>
        <w:szCs w:val="16"/>
        <w:lang w:val="en-us" w:eastAsia="en-us" w:bidi="en-us"/>
      </w:rPr>
    </w:lvl>
    <w:lvl w:ilvl="1">
      <w:start w:val="0"/>
      <w:numFmt w:val="bullet"/>
      <w:lvlText w:val="•"/>
      <w:lvlJc w:val="left"/>
      <w:pPr>
        <w:ind w:left="942" w:hanging="210"/>
      </w:pPr>
      <w:rPr>
        <w:rFonts w:hint="default"/>
        <w:lang w:val="en-us" w:eastAsia="en-us" w:bidi="en-us"/>
      </w:rPr>
    </w:lvl>
    <w:lvl w:ilvl="2">
      <w:start w:val="0"/>
      <w:numFmt w:val="bullet"/>
      <w:lvlText w:val="•"/>
      <w:lvlJc w:val="left"/>
      <w:pPr>
        <w:ind w:left="1444" w:hanging="210"/>
      </w:pPr>
      <w:rPr>
        <w:rFonts w:hint="default"/>
        <w:lang w:val="en-us" w:eastAsia="en-us" w:bidi="en-us"/>
      </w:rPr>
    </w:lvl>
    <w:lvl w:ilvl="3">
      <w:start w:val="0"/>
      <w:numFmt w:val="bullet"/>
      <w:lvlText w:val="•"/>
      <w:lvlJc w:val="left"/>
      <w:pPr>
        <w:ind w:left="1946" w:hanging="210"/>
      </w:pPr>
      <w:rPr>
        <w:rFonts w:hint="default"/>
        <w:lang w:val="en-us" w:eastAsia="en-us" w:bidi="en-us"/>
      </w:rPr>
    </w:lvl>
    <w:lvl w:ilvl="4">
      <w:start w:val="0"/>
      <w:numFmt w:val="bullet"/>
      <w:lvlText w:val="•"/>
      <w:lvlJc w:val="left"/>
      <w:pPr>
        <w:ind w:left="2448" w:hanging="210"/>
      </w:pPr>
      <w:rPr>
        <w:rFonts w:hint="default"/>
        <w:lang w:val="en-us" w:eastAsia="en-us" w:bidi="en-us"/>
      </w:rPr>
    </w:lvl>
    <w:lvl w:ilvl="5">
      <w:start w:val="0"/>
      <w:numFmt w:val="bullet"/>
      <w:lvlText w:val="•"/>
      <w:lvlJc w:val="left"/>
      <w:pPr>
        <w:ind w:left="2950" w:hanging="210"/>
      </w:pPr>
      <w:rPr>
        <w:rFonts w:hint="default"/>
        <w:lang w:val="en-us" w:eastAsia="en-us" w:bidi="en-us"/>
      </w:rPr>
    </w:lvl>
    <w:lvl w:ilvl="6">
      <w:start w:val="0"/>
      <w:numFmt w:val="bullet"/>
      <w:lvlText w:val="•"/>
      <w:lvlJc w:val="left"/>
      <w:pPr>
        <w:ind w:left="3452" w:hanging="210"/>
      </w:pPr>
      <w:rPr>
        <w:rFonts w:hint="default"/>
        <w:lang w:val="en-us" w:eastAsia="en-us" w:bidi="en-us"/>
      </w:rPr>
    </w:lvl>
    <w:lvl w:ilvl="7">
      <w:start w:val="0"/>
      <w:numFmt w:val="bullet"/>
      <w:lvlText w:val="•"/>
      <w:lvlJc w:val="left"/>
      <w:pPr>
        <w:ind w:left="3954" w:hanging="210"/>
      </w:pPr>
      <w:rPr>
        <w:rFonts w:hint="default"/>
        <w:lang w:val="en-us" w:eastAsia="en-us" w:bidi="en-us"/>
      </w:rPr>
    </w:lvl>
    <w:lvl w:ilvl="8">
      <w:start w:val="0"/>
      <w:numFmt w:val="bullet"/>
      <w:lvlText w:val="•"/>
      <w:lvlJc w:val="left"/>
      <w:pPr>
        <w:ind w:left="4456" w:hanging="210"/>
      </w:pPr>
      <w:rPr>
        <w:rFonts w:hint="default"/>
        <w:lang w:val="en-us" w:eastAsia="en-us" w:bidi="en-us"/>
      </w:rPr>
    </w:lvl>
  </w:abstractNum>
  <w:abstractNum w:abstractNumId="19">
    <w:multiLevelType w:val="hybridMultilevel"/>
    <w:lvl w:ilvl="0">
      <w:start w:val="1"/>
      <w:numFmt w:val="lowerLetter"/>
      <w:lvlText w:val="%1)"/>
      <w:lvlJc w:val="left"/>
      <w:pPr>
        <w:ind w:left="439" w:hanging="300"/>
        <w:jc w:val="left"/>
      </w:pPr>
      <w:rPr>
        <w:rFonts w:hint="default" w:ascii="Arial" w:hAnsi="Arial" w:eastAsia="Arial" w:cs="Arial"/>
        <w:w w:val="87"/>
        <w:sz w:val="16"/>
        <w:szCs w:val="16"/>
        <w:lang w:val="en-us" w:eastAsia="en-us" w:bidi="en-us"/>
      </w:rPr>
    </w:lvl>
    <w:lvl w:ilvl="1">
      <w:start w:val="0"/>
      <w:numFmt w:val="bullet"/>
      <w:lvlText w:val="•"/>
      <w:lvlJc w:val="left"/>
      <w:pPr>
        <w:ind w:left="942" w:hanging="300"/>
      </w:pPr>
      <w:rPr>
        <w:rFonts w:hint="default"/>
        <w:lang w:val="en-us" w:eastAsia="en-us" w:bidi="en-us"/>
      </w:rPr>
    </w:lvl>
    <w:lvl w:ilvl="2">
      <w:start w:val="0"/>
      <w:numFmt w:val="bullet"/>
      <w:lvlText w:val="•"/>
      <w:lvlJc w:val="left"/>
      <w:pPr>
        <w:ind w:left="1444" w:hanging="300"/>
      </w:pPr>
      <w:rPr>
        <w:rFonts w:hint="default"/>
        <w:lang w:val="en-us" w:eastAsia="en-us" w:bidi="en-us"/>
      </w:rPr>
    </w:lvl>
    <w:lvl w:ilvl="3">
      <w:start w:val="0"/>
      <w:numFmt w:val="bullet"/>
      <w:lvlText w:val="•"/>
      <w:lvlJc w:val="left"/>
      <w:pPr>
        <w:ind w:left="1946" w:hanging="300"/>
      </w:pPr>
      <w:rPr>
        <w:rFonts w:hint="default"/>
        <w:lang w:val="en-us" w:eastAsia="en-us" w:bidi="en-us"/>
      </w:rPr>
    </w:lvl>
    <w:lvl w:ilvl="4">
      <w:start w:val="0"/>
      <w:numFmt w:val="bullet"/>
      <w:lvlText w:val="•"/>
      <w:lvlJc w:val="left"/>
      <w:pPr>
        <w:ind w:left="2448" w:hanging="300"/>
      </w:pPr>
      <w:rPr>
        <w:rFonts w:hint="default"/>
        <w:lang w:val="en-us" w:eastAsia="en-us" w:bidi="en-us"/>
      </w:rPr>
    </w:lvl>
    <w:lvl w:ilvl="5">
      <w:start w:val="0"/>
      <w:numFmt w:val="bullet"/>
      <w:lvlText w:val="•"/>
      <w:lvlJc w:val="left"/>
      <w:pPr>
        <w:ind w:left="2950" w:hanging="300"/>
      </w:pPr>
      <w:rPr>
        <w:rFonts w:hint="default"/>
        <w:lang w:val="en-us" w:eastAsia="en-us" w:bidi="en-us"/>
      </w:rPr>
    </w:lvl>
    <w:lvl w:ilvl="6">
      <w:start w:val="0"/>
      <w:numFmt w:val="bullet"/>
      <w:lvlText w:val="•"/>
      <w:lvlJc w:val="left"/>
      <w:pPr>
        <w:ind w:left="3452" w:hanging="300"/>
      </w:pPr>
      <w:rPr>
        <w:rFonts w:hint="default"/>
        <w:lang w:val="en-us" w:eastAsia="en-us" w:bidi="en-us"/>
      </w:rPr>
    </w:lvl>
    <w:lvl w:ilvl="7">
      <w:start w:val="0"/>
      <w:numFmt w:val="bullet"/>
      <w:lvlText w:val="•"/>
      <w:lvlJc w:val="left"/>
      <w:pPr>
        <w:ind w:left="3954" w:hanging="300"/>
      </w:pPr>
      <w:rPr>
        <w:rFonts w:hint="default"/>
        <w:lang w:val="en-us" w:eastAsia="en-us" w:bidi="en-us"/>
      </w:rPr>
    </w:lvl>
    <w:lvl w:ilvl="8">
      <w:start w:val="0"/>
      <w:numFmt w:val="bullet"/>
      <w:lvlText w:val="•"/>
      <w:lvlJc w:val="left"/>
      <w:pPr>
        <w:ind w:left="4456" w:hanging="300"/>
      </w:pPr>
      <w:rPr>
        <w:rFonts w:hint="default"/>
        <w:lang w:val="en-us" w:eastAsia="en-us" w:bidi="en-us"/>
      </w:rPr>
    </w:lvl>
  </w:abstractNum>
  <w:abstractNum w:abstractNumId="18">
    <w:multiLevelType w:val="hybridMultilevel"/>
    <w:lvl w:ilvl="0">
      <w:start w:val="1"/>
      <w:numFmt w:val="lowerLetter"/>
      <w:lvlText w:val="%1)"/>
      <w:lvlJc w:val="left"/>
      <w:pPr>
        <w:ind w:left="439" w:hanging="300"/>
        <w:jc w:val="left"/>
      </w:pPr>
      <w:rPr>
        <w:rFonts w:hint="default" w:ascii="Arial" w:hAnsi="Arial" w:eastAsia="Arial" w:cs="Arial"/>
        <w:w w:val="87"/>
        <w:sz w:val="16"/>
        <w:szCs w:val="16"/>
        <w:lang w:val="en-us" w:eastAsia="en-us" w:bidi="en-us"/>
      </w:rPr>
    </w:lvl>
    <w:lvl w:ilvl="1">
      <w:start w:val="0"/>
      <w:numFmt w:val="bullet"/>
      <w:lvlText w:val="•"/>
      <w:lvlJc w:val="left"/>
      <w:pPr>
        <w:ind w:left="859" w:hanging="420"/>
      </w:pPr>
      <w:rPr>
        <w:rFonts w:hint="default" w:ascii="Arial" w:hAnsi="Arial" w:eastAsia="Arial" w:cs="Arial"/>
        <w:w w:val="95"/>
        <w:sz w:val="16"/>
        <w:szCs w:val="16"/>
        <w:lang w:val="en-us" w:eastAsia="en-us" w:bidi="en-us"/>
      </w:rPr>
    </w:lvl>
    <w:lvl w:ilvl="2">
      <w:start w:val="0"/>
      <w:numFmt w:val="bullet"/>
      <w:lvlText w:val="•"/>
      <w:lvlJc w:val="left"/>
      <w:pPr>
        <w:ind w:left="1371" w:hanging="420"/>
      </w:pPr>
      <w:rPr>
        <w:rFonts w:hint="default"/>
        <w:lang w:val="en-us" w:eastAsia="en-us" w:bidi="en-us"/>
      </w:rPr>
    </w:lvl>
    <w:lvl w:ilvl="3">
      <w:start w:val="0"/>
      <w:numFmt w:val="bullet"/>
      <w:lvlText w:val="•"/>
      <w:lvlJc w:val="left"/>
      <w:pPr>
        <w:ind w:left="1882" w:hanging="420"/>
      </w:pPr>
      <w:rPr>
        <w:rFonts w:hint="default"/>
        <w:lang w:val="en-us" w:eastAsia="en-us" w:bidi="en-us"/>
      </w:rPr>
    </w:lvl>
    <w:lvl w:ilvl="4">
      <w:start w:val="0"/>
      <w:numFmt w:val="bullet"/>
      <w:lvlText w:val="•"/>
      <w:lvlJc w:val="left"/>
      <w:pPr>
        <w:ind w:left="2393" w:hanging="420"/>
      </w:pPr>
      <w:rPr>
        <w:rFonts w:hint="default"/>
        <w:lang w:val="en-us" w:eastAsia="en-us" w:bidi="en-us"/>
      </w:rPr>
    </w:lvl>
    <w:lvl w:ilvl="5">
      <w:start w:val="0"/>
      <w:numFmt w:val="bullet"/>
      <w:lvlText w:val="•"/>
      <w:lvlJc w:val="left"/>
      <w:pPr>
        <w:ind w:left="2904" w:hanging="420"/>
      </w:pPr>
      <w:rPr>
        <w:rFonts w:hint="default"/>
        <w:lang w:val="en-us" w:eastAsia="en-us" w:bidi="en-us"/>
      </w:rPr>
    </w:lvl>
    <w:lvl w:ilvl="6">
      <w:start w:val="0"/>
      <w:numFmt w:val="bullet"/>
      <w:lvlText w:val="•"/>
      <w:lvlJc w:val="left"/>
      <w:pPr>
        <w:ind w:left="3415" w:hanging="420"/>
      </w:pPr>
      <w:rPr>
        <w:rFonts w:hint="default"/>
        <w:lang w:val="en-us" w:eastAsia="en-us" w:bidi="en-us"/>
      </w:rPr>
    </w:lvl>
    <w:lvl w:ilvl="7">
      <w:start w:val="0"/>
      <w:numFmt w:val="bullet"/>
      <w:lvlText w:val="•"/>
      <w:lvlJc w:val="left"/>
      <w:pPr>
        <w:ind w:left="3926" w:hanging="420"/>
      </w:pPr>
      <w:rPr>
        <w:rFonts w:hint="default"/>
        <w:lang w:val="en-us" w:eastAsia="en-us" w:bidi="en-us"/>
      </w:rPr>
    </w:lvl>
    <w:lvl w:ilvl="8">
      <w:start w:val="0"/>
      <w:numFmt w:val="bullet"/>
      <w:lvlText w:val="•"/>
      <w:lvlJc w:val="left"/>
      <w:pPr>
        <w:ind w:left="4437" w:hanging="420"/>
      </w:pPr>
      <w:rPr>
        <w:rFonts w:hint="default"/>
        <w:lang w:val="en-us" w:eastAsia="en-us" w:bidi="en-us"/>
      </w:rPr>
    </w:lvl>
  </w:abstractNum>
  <w:abstractNum w:abstractNumId="17">
    <w:multiLevelType w:val="hybridMultilevel"/>
    <w:lvl w:ilvl="0">
      <w:start w:val="1"/>
      <w:numFmt w:val="lowerLetter"/>
      <w:lvlText w:val="%1)"/>
      <w:lvlJc w:val="left"/>
      <w:pPr>
        <w:ind w:left="439" w:hanging="300"/>
        <w:jc w:val="left"/>
      </w:pPr>
      <w:rPr>
        <w:rFonts w:hint="default" w:ascii="Arial" w:hAnsi="Arial" w:eastAsia="Arial" w:cs="Arial"/>
        <w:w w:val="87"/>
        <w:sz w:val="16"/>
        <w:szCs w:val="16"/>
        <w:lang w:val="en-us" w:eastAsia="en-us" w:bidi="en-us"/>
      </w:rPr>
    </w:lvl>
    <w:lvl w:ilvl="1">
      <w:start w:val="0"/>
      <w:numFmt w:val="bullet"/>
      <w:lvlText w:val="•"/>
      <w:lvlJc w:val="left"/>
      <w:pPr>
        <w:ind w:left="1010" w:hanging="300"/>
      </w:pPr>
      <w:rPr>
        <w:rFonts w:hint="default"/>
        <w:lang w:val="en-us" w:eastAsia="en-us" w:bidi="en-us"/>
      </w:rPr>
    </w:lvl>
    <w:lvl w:ilvl="2">
      <w:start w:val="0"/>
      <w:numFmt w:val="bullet"/>
      <w:lvlText w:val="•"/>
      <w:lvlJc w:val="left"/>
      <w:pPr>
        <w:ind w:left="1580" w:hanging="300"/>
      </w:pPr>
      <w:rPr>
        <w:rFonts w:hint="default"/>
        <w:lang w:val="en-us" w:eastAsia="en-us" w:bidi="en-us"/>
      </w:rPr>
    </w:lvl>
    <w:lvl w:ilvl="3">
      <w:start w:val="0"/>
      <w:numFmt w:val="bullet"/>
      <w:lvlText w:val="•"/>
      <w:lvlJc w:val="left"/>
      <w:pPr>
        <w:ind w:left="2150" w:hanging="300"/>
      </w:pPr>
      <w:rPr>
        <w:rFonts w:hint="default"/>
        <w:lang w:val="en-us" w:eastAsia="en-us" w:bidi="en-us"/>
      </w:rPr>
    </w:lvl>
    <w:lvl w:ilvl="4">
      <w:start w:val="0"/>
      <w:numFmt w:val="bullet"/>
      <w:lvlText w:val="•"/>
      <w:lvlJc w:val="left"/>
      <w:pPr>
        <w:ind w:left="2720" w:hanging="300"/>
      </w:pPr>
      <w:rPr>
        <w:rFonts w:hint="default"/>
        <w:lang w:val="en-us" w:eastAsia="en-us" w:bidi="en-us"/>
      </w:rPr>
    </w:lvl>
    <w:lvl w:ilvl="5">
      <w:start w:val="0"/>
      <w:numFmt w:val="bullet"/>
      <w:lvlText w:val="•"/>
      <w:lvlJc w:val="left"/>
      <w:pPr>
        <w:ind w:left="3290" w:hanging="300"/>
      </w:pPr>
      <w:rPr>
        <w:rFonts w:hint="default"/>
        <w:lang w:val="en-us" w:eastAsia="en-us" w:bidi="en-us"/>
      </w:rPr>
    </w:lvl>
    <w:lvl w:ilvl="6">
      <w:start w:val="0"/>
      <w:numFmt w:val="bullet"/>
      <w:lvlText w:val="•"/>
      <w:lvlJc w:val="left"/>
      <w:pPr>
        <w:ind w:left="3860" w:hanging="300"/>
      </w:pPr>
      <w:rPr>
        <w:rFonts w:hint="default"/>
        <w:lang w:val="en-us" w:eastAsia="en-us" w:bidi="en-us"/>
      </w:rPr>
    </w:lvl>
    <w:lvl w:ilvl="7">
      <w:start w:val="0"/>
      <w:numFmt w:val="bullet"/>
      <w:lvlText w:val="•"/>
      <w:lvlJc w:val="left"/>
      <w:pPr>
        <w:ind w:left="4430" w:hanging="300"/>
      </w:pPr>
      <w:rPr>
        <w:rFonts w:hint="default"/>
        <w:lang w:val="en-us" w:eastAsia="en-us" w:bidi="en-us"/>
      </w:rPr>
    </w:lvl>
    <w:lvl w:ilvl="8">
      <w:start w:val="0"/>
      <w:numFmt w:val="bullet"/>
      <w:lvlText w:val="•"/>
      <w:lvlJc w:val="left"/>
      <w:pPr>
        <w:ind w:left="5000" w:hanging="300"/>
      </w:pPr>
      <w:rPr>
        <w:rFonts w:hint="default"/>
        <w:lang w:val="en-us" w:eastAsia="en-us" w:bidi="en-us"/>
      </w:rPr>
    </w:lvl>
  </w:abstractNum>
  <w:abstractNum w:abstractNumId="16">
    <w:multiLevelType w:val="hybridMultilevel"/>
    <w:lvl w:ilvl="0">
      <w:start w:val="1"/>
      <w:numFmt w:val="lowerLetter"/>
      <w:lvlText w:val="%1)"/>
      <w:lvlJc w:val="left"/>
      <w:pPr>
        <w:ind w:left="440" w:hanging="300"/>
        <w:jc w:val="left"/>
      </w:pPr>
      <w:rPr>
        <w:rFonts w:hint="default" w:ascii="Arial" w:hAnsi="Arial" w:eastAsia="Arial" w:cs="Arial"/>
        <w:w w:val="87"/>
        <w:sz w:val="16"/>
        <w:szCs w:val="16"/>
        <w:lang w:val="en-us" w:eastAsia="en-us" w:bidi="en-us"/>
      </w:rPr>
    </w:lvl>
    <w:lvl w:ilvl="1">
      <w:start w:val="0"/>
      <w:numFmt w:val="bullet"/>
      <w:lvlText w:val="•"/>
      <w:lvlJc w:val="left"/>
      <w:pPr>
        <w:ind w:left="943" w:hanging="300"/>
      </w:pPr>
      <w:rPr>
        <w:rFonts w:hint="default"/>
        <w:lang w:val="en-us" w:eastAsia="en-us" w:bidi="en-us"/>
      </w:rPr>
    </w:lvl>
    <w:lvl w:ilvl="2">
      <w:start w:val="0"/>
      <w:numFmt w:val="bullet"/>
      <w:lvlText w:val="•"/>
      <w:lvlJc w:val="left"/>
      <w:pPr>
        <w:ind w:left="1446" w:hanging="300"/>
      </w:pPr>
      <w:rPr>
        <w:rFonts w:hint="default"/>
        <w:lang w:val="en-us" w:eastAsia="en-us" w:bidi="en-us"/>
      </w:rPr>
    </w:lvl>
    <w:lvl w:ilvl="3">
      <w:start w:val="0"/>
      <w:numFmt w:val="bullet"/>
      <w:lvlText w:val="•"/>
      <w:lvlJc w:val="left"/>
      <w:pPr>
        <w:ind w:left="1950" w:hanging="300"/>
      </w:pPr>
      <w:rPr>
        <w:rFonts w:hint="default"/>
        <w:lang w:val="en-us" w:eastAsia="en-us" w:bidi="en-us"/>
      </w:rPr>
    </w:lvl>
    <w:lvl w:ilvl="4">
      <w:start w:val="0"/>
      <w:numFmt w:val="bullet"/>
      <w:lvlText w:val="•"/>
      <w:lvlJc w:val="left"/>
      <w:pPr>
        <w:ind w:left="2453" w:hanging="300"/>
      </w:pPr>
      <w:rPr>
        <w:rFonts w:hint="default"/>
        <w:lang w:val="en-us" w:eastAsia="en-us" w:bidi="en-us"/>
      </w:rPr>
    </w:lvl>
    <w:lvl w:ilvl="5">
      <w:start w:val="0"/>
      <w:numFmt w:val="bullet"/>
      <w:lvlText w:val="•"/>
      <w:lvlJc w:val="left"/>
      <w:pPr>
        <w:ind w:left="2957" w:hanging="300"/>
      </w:pPr>
      <w:rPr>
        <w:rFonts w:hint="default"/>
        <w:lang w:val="en-us" w:eastAsia="en-us" w:bidi="en-us"/>
      </w:rPr>
    </w:lvl>
    <w:lvl w:ilvl="6">
      <w:start w:val="0"/>
      <w:numFmt w:val="bullet"/>
      <w:lvlText w:val="•"/>
      <w:lvlJc w:val="left"/>
      <w:pPr>
        <w:ind w:left="3460" w:hanging="300"/>
      </w:pPr>
      <w:rPr>
        <w:rFonts w:hint="default"/>
        <w:lang w:val="en-us" w:eastAsia="en-us" w:bidi="en-us"/>
      </w:rPr>
    </w:lvl>
    <w:lvl w:ilvl="7">
      <w:start w:val="0"/>
      <w:numFmt w:val="bullet"/>
      <w:lvlText w:val="•"/>
      <w:lvlJc w:val="left"/>
      <w:pPr>
        <w:ind w:left="3963" w:hanging="300"/>
      </w:pPr>
      <w:rPr>
        <w:rFonts w:hint="default"/>
        <w:lang w:val="en-us" w:eastAsia="en-us" w:bidi="en-us"/>
      </w:rPr>
    </w:lvl>
    <w:lvl w:ilvl="8">
      <w:start w:val="0"/>
      <w:numFmt w:val="bullet"/>
      <w:lvlText w:val="•"/>
      <w:lvlJc w:val="left"/>
      <w:pPr>
        <w:ind w:left="4467" w:hanging="300"/>
      </w:pPr>
      <w:rPr>
        <w:rFonts w:hint="default"/>
        <w:lang w:val="en-us" w:eastAsia="en-us" w:bidi="en-us"/>
      </w:rPr>
    </w:lvl>
  </w:abstractNum>
  <w:abstractNum w:abstractNumId="15">
    <w:multiLevelType w:val="hybridMultilevel"/>
    <w:lvl w:ilvl="0">
      <w:start w:val="1"/>
      <w:numFmt w:val="lowerLetter"/>
      <w:lvlText w:val="%1)"/>
      <w:lvlJc w:val="left"/>
      <w:pPr>
        <w:ind w:left="304" w:hanging="165"/>
        <w:jc w:val="left"/>
      </w:pPr>
      <w:rPr>
        <w:rFonts w:hint="default" w:ascii="Arial" w:hAnsi="Arial" w:eastAsia="Arial" w:cs="Arial"/>
        <w:w w:val="87"/>
        <w:sz w:val="16"/>
        <w:szCs w:val="16"/>
        <w:lang w:val="en-us" w:eastAsia="en-us" w:bidi="en-us"/>
      </w:rPr>
    </w:lvl>
    <w:lvl w:ilvl="1">
      <w:start w:val="0"/>
      <w:numFmt w:val="bullet"/>
      <w:lvlText w:val="•"/>
      <w:lvlJc w:val="left"/>
      <w:pPr>
        <w:ind w:left="779" w:hanging="340"/>
      </w:pPr>
      <w:rPr>
        <w:rFonts w:hint="default" w:ascii="Arial" w:hAnsi="Arial" w:eastAsia="Arial" w:cs="Arial"/>
        <w:w w:val="95"/>
        <w:sz w:val="16"/>
        <w:szCs w:val="16"/>
        <w:lang w:val="en-us" w:eastAsia="en-us" w:bidi="en-us"/>
      </w:rPr>
    </w:lvl>
    <w:lvl w:ilvl="2">
      <w:start w:val="0"/>
      <w:numFmt w:val="bullet"/>
      <w:lvlText w:val="•"/>
      <w:lvlJc w:val="left"/>
      <w:pPr>
        <w:ind w:left="1375" w:hanging="340"/>
      </w:pPr>
      <w:rPr>
        <w:rFonts w:hint="default"/>
        <w:lang w:val="en-us" w:eastAsia="en-us" w:bidi="en-us"/>
      </w:rPr>
    </w:lvl>
    <w:lvl w:ilvl="3">
      <w:start w:val="0"/>
      <w:numFmt w:val="bullet"/>
      <w:lvlText w:val="•"/>
      <w:lvlJc w:val="left"/>
      <w:pPr>
        <w:ind w:left="1971" w:hanging="340"/>
      </w:pPr>
      <w:rPr>
        <w:rFonts w:hint="default"/>
        <w:lang w:val="en-us" w:eastAsia="en-us" w:bidi="en-us"/>
      </w:rPr>
    </w:lvl>
    <w:lvl w:ilvl="4">
      <w:start w:val="0"/>
      <w:numFmt w:val="bullet"/>
      <w:lvlText w:val="•"/>
      <w:lvlJc w:val="left"/>
      <w:pPr>
        <w:ind w:left="2566" w:hanging="340"/>
      </w:pPr>
      <w:rPr>
        <w:rFonts w:hint="default"/>
        <w:lang w:val="en-us" w:eastAsia="en-us" w:bidi="en-us"/>
      </w:rPr>
    </w:lvl>
    <w:lvl w:ilvl="5">
      <w:start w:val="0"/>
      <w:numFmt w:val="bullet"/>
      <w:lvlText w:val="•"/>
      <w:lvlJc w:val="left"/>
      <w:pPr>
        <w:ind w:left="3162" w:hanging="340"/>
      </w:pPr>
      <w:rPr>
        <w:rFonts w:hint="default"/>
        <w:lang w:val="en-us" w:eastAsia="en-us" w:bidi="en-us"/>
      </w:rPr>
    </w:lvl>
    <w:lvl w:ilvl="6">
      <w:start w:val="0"/>
      <w:numFmt w:val="bullet"/>
      <w:lvlText w:val="•"/>
      <w:lvlJc w:val="left"/>
      <w:pPr>
        <w:ind w:left="3757" w:hanging="340"/>
      </w:pPr>
      <w:rPr>
        <w:rFonts w:hint="default"/>
        <w:lang w:val="en-us" w:eastAsia="en-us" w:bidi="en-us"/>
      </w:rPr>
    </w:lvl>
    <w:lvl w:ilvl="7">
      <w:start w:val="0"/>
      <w:numFmt w:val="bullet"/>
      <w:lvlText w:val="•"/>
      <w:lvlJc w:val="left"/>
      <w:pPr>
        <w:ind w:left="4353" w:hanging="340"/>
      </w:pPr>
      <w:rPr>
        <w:rFonts w:hint="default"/>
        <w:lang w:val="en-us" w:eastAsia="en-us" w:bidi="en-us"/>
      </w:rPr>
    </w:lvl>
    <w:lvl w:ilvl="8">
      <w:start w:val="0"/>
      <w:numFmt w:val="bullet"/>
      <w:lvlText w:val="•"/>
      <w:lvlJc w:val="left"/>
      <w:pPr>
        <w:ind w:left="4948" w:hanging="340"/>
      </w:pPr>
      <w:rPr>
        <w:rFonts w:hint="default"/>
        <w:lang w:val="en-us" w:eastAsia="en-us" w:bidi="en-us"/>
      </w:rPr>
    </w:lvl>
  </w:abstractNum>
  <w:abstractNum w:abstractNumId="14">
    <w:multiLevelType w:val="hybridMultilevel"/>
    <w:lvl w:ilvl="0">
      <w:start w:val="1"/>
      <w:numFmt w:val="lowerLetter"/>
      <w:lvlText w:val="%1)"/>
      <w:lvlJc w:val="left"/>
      <w:pPr>
        <w:ind w:left="439" w:hanging="300"/>
        <w:jc w:val="left"/>
      </w:pPr>
      <w:rPr>
        <w:rFonts w:hint="default" w:ascii="Arial" w:hAnsi="Arial" w:eastAsia="Arial" w:cs="Arial"/>
        <w:w w:val="87"/>
        <w:sz w:val="16"/>
        <w:szCs w:val="16"/>
        <w:lang w:val="en-us" w:eastAsia="en-us" w:bidi="en-us"/>
      </w:rPr>
    </w:lvl>
    <w:lvl w:ilvl="1">
      <w:start w:val="0"/>
      <w:numFmt w:val="bullet"/>
      <w:lvlText w:val="•"/>
      <w:lvlJc w:val="left"/>
      <w:pPr>
        <w:ind w:left="1010" w:hanging="300"/>
      </w:pPr>
      <w:rPr>
        <w:rFonts w:hint="default"/>
        <w:lang w:val="en-us" w:eastAsia="en-us" w:bidi="en-us"/>
      </w:rPr>
    </w:lvl>
    <w:lvl w:ilvl="2">
      <w:start w:val="0"/>
      <w:numFmt w:val="bullet"/>
      <w:lvlText w:val="•"/>
      <w:lvlJc w:val="left"/>
      <w:pPr>
        <w:ind w:left="1580" w:hanging="300"/>
      </w:pPr>
      <w:rPr>
        <w:rFonts w:hint="default"/>
        <w:lang w:val="en-us" w:eastAsia="en-us" w:bidi="en-us"/>
      </w:rPr>
    </w:lvl>
    <w:lvl w:ilvl="3">
      <w:start w:val="0"/>
      <w:numFmt w:val="bullet"/>
      <w:lvlText w:val="•"/>
      <w:lvlJc w:val="left"/>
      <w:pPr>
        <w:ind w:left="2150" w:hanging="300"/>
      </w:pPr>
      <w:rPr>
        <w:rFonts w:hint="default"/>
        <w:lang w:val="en-us" w:eastAsia="en-us" w:bidi="en-us"/>
      </w:rPr>
    </w:lvl>
    <w:lvl w:ilvl="4">
      <w:start w:val="0"/>
      <w:numFmt w:val="bullet"/>
      <w:lvlText w:val="•"/>
      <w:lvlJc w:val="left"/>
      <w:pPr>
        <w:ind w:left="2720" w:hanging="300"/>
      </w:pPr>
      <w:rPr>
        <w:rFonts w:hint="default"/>
        <w:lang w:val="en-us" w:eastAsia="en-us" w:bidi="en-us"/>
      </w:rPr>
    </w:lvl>
    <w:lvl w:ilvl="5">
      <w:start w:val="0"/>
      <w:numFmt w:val="bullet"/>
      <w:lvlText w:val="•"/>
      <w:lvlJc w:val="left"/>
      <w:pPr>
        <w:ind w:left="3290" w:hanging="300"/>
      </w:pPr>
      <w:rPr>
        <w:rFonts w:hint="default"/>
        <w:lang w:val="en-us" w:eastAsia="en-us" w:bidi="en-us"/>
      </w:rPr>
    </w:lvl>
    <w:lvl w:ilvl="6">
      <w:start w:val="0"/>
      <w:numFmt w:val="bullet"/>
      <w:lvlText w:val="•"/>
      <w:lvlJc w:val="left"/>
      <w:pPr>
        <w:ind w:left="3860" w:hanging="300"/>
      </w:pPr>
      <w:rPr>
        <w:rFonts w:hint="default"/>
        <w:lang w:val="en-us" w:eastAsia="en-us" w:bidi="en-us"/>
      </w:rPr>
    </w:lvl>
    <w:lvl w:ilvl="7">
      <w:start w:val="0"/>
      <w:numFmt w:val="bullet"/>
      <w:lvlText w:val="•"/>
      <w:lvlJc w:val="left"/>
      <w:pPr>
        <w:ind w:left="4430" w:hanging="300"/>
      </w:pPr>
      <w:rPr>
        <w:rFonts w:hint="default"/>
        <w:lang w:val="en-us" w:eastAsia="en-us" w:bidi="en-us"/>
      </w:rPr>
    </w:lvl>
    <w:lvl w:ilvl="8">
      <w:start w:val="0"/>
      <w:numFmt w:val="bullet"/>
      <w:lvlText w:val="•"/>
      <w:lvlJc w:val="left"/>
      <w:pPr>
        <w:ind w:left="5000" w:hanging="300"/>
      </w:pPr>
      <w:rPr>
        <w:rFonts w:hint="default"/>
        <w:lang w:val="en-us" w:eastAsia="en-us" w:bidi="en-us"/>
      </w:rPr>
    </w:lvl>
  </w:abstractNum>
  <w:abstractNum w:abstractNumId="13">
    <w:multiLevelType w:val="hybridMultilevel"/>
    <w:lvl w:ilvl="0">
      <w:start w:val="4"/>
      <w:numFmt w:val="lowerLetter"/>
      <w:lvlText w:val="%1)"/>
      <w:lvlJc w:val="left"/>
      <w:pPr>
        <w:ind w:left="439" w:hanging="300"/>
        <w:jc w:val="left"/>
      </w:pPr>
      <w:rPr>
        <w:rFonts w:hint="default" w:ascii="Arial" w:hAnsi="Arial" w:eastAsia="Arial" w:cs="Arial"/>
        <w:w w:val="93"/>
        <w:sz w:val="16"/>
        <w:szCs w:val="16"/>
        <w:lang w:val="en-us" w:eastAsia="en-us" w:bidi="en-us"/>
      </w:rPr>
    </w:lvl>
    <w:lvl w:ilvl="1">
      <w:start w:val="0"/>
      <w:numFmt w:val="bullet"/>
      <w:lvlText w:val="•"/>
      <w:lvlJc w:val="left"/>
      <w:pPr>
        <w:ind w:left="1010" w:hanging="300"/>
      </w:pPr>
      <w:rPr>
        <w:rFonts w:hint="default"/>
        <w:lang w:val="en-us" w:eastAsia="en-us" w:bidi="en-us"/>
      </w:rPr>
    </w:lvl>
    <w:lvl w:ilvl="2">
      <w:start w:val="0"/>
      <w:numFmt w:val="bullet"/>
      <w:lvlText w:val="•"/>
      <w:lvlJc w:val="left"/>
      <w:pPr>
        <w:ind w:left="1580" w:hanging="300"/>
      </w:pPr>
      <w:rPr>
        <w:rFonts w:hint="default"/>
        <w:lang w:val="en-us" w:eastAsia="en-us" w:bidi="en-us"/>
      </w:rPr>
    </w:lvl>
    <w:lvl w:ilvl="3">
      <w:start w:val="0"/>
      <w:numFmt w:val="bullet"/>
      <w:lvlText w:val="•"/>
      <w:lvlJc w:val="left"/>
      <w:pPr>
        <w:ind w:left="2150" w:hanging="300"/>
      </w:pPr>
      <w:rPr>
        <w:rFonts w:hint="default"/>
        <w:lang w:val="en-us" w:eastAsia="en-us" w:bidi="en-us"/>
      </w:rPr>
    </w:lvl>
    <w:lvl w:ilvl="4">
      <w:start w:val="0"/>
      <w:numFmt w:val="bullet"/>
      <w:lvlText w:val="•"/>
      <w:lvlJc w:val="left"/>
      <w:pPr>
        <w:ind w:left="2720" w:hanging="300"/>
      </w:pPr>
      <w:rPr>
        <w:rFonts w:hint="default"/>
        <w:lang w:val="en-us" w:eastAsia="en-us" w:bidi="en-us"/>
      </w:rPr>
    </w:lvl>
    <w:lvl w:ilvl="5">
      <w:start w:val="0"/>
      <w:numFmt w:val="bullet"/>
      <w:lvlText w:val="•"/>
      <w:lvlJc w:val="left"/>
      <w:pPr>
        <w:ind w:left="3290" w:hanging="300"/>
      </w:pPr>
      <w:rPr>
        <w:rFonts w:hint="default"/>
        <w:lang w:val="en-us" w:eastAsia="en-us" w:bidi="en-us"/>
      </w:rPr>
    </w:lvl>
    <w:lvl w:ilvl="6">
      <w:start w:val="0"/>
      <w:numFmt w:val="bullet"/>
      <w:lvlText w:val="•"/>
      <w:lvlJc w:val="left"/>
      <w:pPr>
        <w:ind w:left="3860" w:hanging="300"/>
      </w:pPr>
      <w:rPr>
        <w:rFonts w:hint="default"/>
        <w:lang w:val="en-us" w:eastAsia="en-us" w:bidi="en-us"/>
      </w:rPr>
    </w:lvl>
    <w:lvl w:ilvl="7">
      <w:start w:val="0"/>
      <w:numFmt w:val="bullet"/>
      <w:lvlText w:val="•"/>
      <w:lvlJc w:val="left"/>
      <w:pPr>
        <w:ind w:left="4430" w:hanging="300"/>
      </w:pPr>
      <w:rPr>
        <w:rFonts w:hint="default"/>
        <w:lang w:val="en-us" w:eastAsia="en-us" w:bidi="en-us"/>
      </w:rPr>
    </w:lvl>
    <w:lvl w:ilvl="8">
      <w:start w:val="0"/>
      <w:numFmt w:val="bullet"/>
      <w:lvlText w:val="•"/>
      <w:lvlJc w:val="left"/>
      <w:pPr>
        <w:ind w:left="5000" w:hanging="300"/>
      </w:pPr>
      <w:rPr>
        <w:rFonts w:hint="default"/>
        <w:lang w:val="en-us" w:eastAsia="en-us" w:bidi="en-us"/>
      </w:rPr>
    </w:lvl>
  </w:abstractNum>
  <w:abstractNum w:abstractNumId="12">
    <w:multiLevelType w:val="hybridMultilevel"/>
    <w:lvl w:ilvl="0">
      <w:start w:val="1"/>
      <w:numFmt w:val="lowerLetter"/>
      <w:lvlText w:val="%1)"/>
      <w:lvlJc w:val="left"/>
      <w:pPr>
        <w:ind w:left="439" w:hanging="300"/>
        <w:jc w:val="left"/>
      </w:pPr>
      <w:rPr>
        <w:rFonts w:hint="default" w:ascii="Arial" w:hAnsi="Arial" w:eastAsia="Arial" w:cs="Arial"/>
        <w:w w:val="87"/>
        <w:sz w:val="16"/>
        <w:szCs w:val="16"/>
        <w:lang w:val="en-us" w:eastAsia="en-us" w:bidi="en-us"/>
      </w:rPr>
    </w:lvl>
    <w:lvl w:ilvl="1">
      <w:start w:val="0"/>
      <w:numFmt w:val="bullet"/>
      <w:lvlText w:val="•"/>
      <w:lvlJc w:val="left"/>
      <w:pPr>
        <w:ind w:left="942" w:hanging="300"/>
      </w:pPr>
      <w:rPr>
        <w:rFonts w:hint="default"/>
        <w:lang w:val="en-us" w:eastAsia="en-us" w:bidi="en-us"/>
      </w:rPr>
    </w:lvl>
    <w:lvl w:ilvl="2">
      <w:start w:val="0"/>
      <w:numFmt w:val="bullet"/>
      <w:lvlText w:val="•"/>
      <w:lvlJc w:val="left"/>
      <w:pPr>
        <w:ind w:left="1445" w:hanging="300"/>
      </w:pPr>
      <w:rPr>
        <w:rFonts w:hint="default"/>
        <w:lang w:val="en-us" w:eastAsia="en-us" w:bidi="en-us"/>
      </w:rPr>
    </w:lvl>
    <w:lvl w:ilvl="3">
      <w:start w:val="0"/>
      <w:numFmt w:val="bullet"/>
      <w:lvlText w:val="•"/>
      <w:lvlJc w:val="left"/>
      <w:pPr>
        <w:ind w:left="1947" w:hanging="300"/>
      </w:pPr>
      <w:rPr>
        <w:rFonts w:hint="default"/>
        <w:lang w:val="en-us" w:eastAsia="en-us" w:bidi="en-us"/>
      </w:rPr>
    </w:lvl>
    <w:lvl w:ilvl="4">
      <w:start w:val="0"/>
      <w:numFmt w:val="bullet"/>
      <w:lvlText w:val="•"/>
      <w:lvlJc w:val="left"/>
      <w:pPr>
        <w:ind w:left="2450" w:hanging="300"/>
      </w:pPr>
      <w:rPr>
        <w:rFonts w:hint="default"/>
        <w:lang w:val="en-us" w:eastAsia="en-us" w:bidi="en-us"/>
      </w:rPr>
    </w:lvl>
    <w:lvl w:ilvl="5">
      <w:start w:val="0"/>
      <w:numFmt w:val="bullet"/>
      <w:lvlText w:val="•"/>
      <w:lvlJc w:val="left"/>
      <w:pPr>
        <w:ind w:left="2952" w:hanging="300"/>
      </w:pPr>
      <w:rPr>
        <w:rFonts w:hint="default"/>
        <w:lang w:val="en-us" w:eastAsia="en-us" w:bidi="en-us"/>
      </w:rPr>
    </w:lvl>
    <w:lvl w:ilvl="6">
      <w:start w:val="0"/>
      <w:numFmt w:val="bullet"/>
      <w:lvlText w:val="•"/>
      <w:lvlJc w:val="left"/>
      <w:pPr>
        <w:ind w:left="3455" w:hanging="300"/>
      </w:pPr>
      <w:rPr>
        <w:rFonts w:hint="default"/>
        <w:lang w:val="en-us" w:eastAsia="en-us" w:bidi="en-us"/>
      </w:rPr>
    </w:lvl>
    <w:lvl w:ilvl="7">
      <w:start w:val="0"/>
      <w:numFmt w:val="bullet"/>
      <w:lvlText w:val="•"/>
      <w:lvlJc w:val="left"/>
      <w:pPr>
        <w:ind w:left="3957" w:hanging="300"/>
      </w:pPr>
      <w:rPr>
        <w:rFonts w:hint="default"/>
        <w:lang w:val="en-us" w:eastAsia="en-us" w:bidi="en-us"/>
      </w:rPr>
    </w:lvl>
    <w:lvl w:ilvl="8">
      <w:start w:val="0"/>
      <w:numFmt w:val="bullet"/>
      <w:lvlText w:val="•"/>
      <w:lvlJc w:val="left"/>
      <w:pPr>
        <w:ind w:left="4460" w:hanging="300"/>
      </w:pPr>
      <w:rPr>
        <w:rFonts w:hint="default"/>
        <w:lang w:val="en-us" w:eastAsia="en-us" w:bidi="en-us"/>
      </w:rPr>
    </w:lvl>
  </w:abstractNum>
  <w:abstractNum w:abstractNumId="11">
    <w:multiLevelType w:val="hybridMultilevel"/>
    <w:lvl w:ilvl="0">
      <w:start w:val="1"/>
      <w:numFmt w:val="lowerLetter"/>
      <w:lvlText w:val="%1)"/>
      <w:lvlJc w:val="left"/>
      <w:pPr>
        <w:ind w:left="440" w:hanging="300"/>
        <w:jc w:val="left"/>
      </w:pPr>
      <w:rPr>
        <w:rFonts w:hint="default" w:ascii="Arial" w:hAnsi="Arial" w:eastAsia="Arial" w:cs="Arial"/>
        <w:w w:val="87"/>
        <w:sz w:val="16"/>
        <w:szCs w:val="16"/>
        <w:lang w:val="en-us" w:eastAsia="en-us" w:bidi="en-us"/>
      </w:rPr>
    </w:lvl>
    <w:lvl w:ilvl="1">
      <w:start w:val="0"/>
      <w:numFmt w:val="bullet"/>
      <w:lvlText w:val="•"/>
      <w:lvlJc w:val="left"/>
      <w:pPr>
        <w:ind w:left="1010" w:hanging="300"/>
      </w:pPr>
      <w:rPr>
        <w:rFonts w:hint="default"/>
        <w:lang w:val="en-us" w:eastAsia="en-us" w:bidi="en-us"/>
      </w:rPr>
    </w:lvl>
    <w:lvl w:ilvl="2">
      <w:start w:val="0"/>
      <w:numFmt w:val="bullet"/>
      <w:lvlText w:val="•"/>
      <w:lvlJc w:val="left"/>
      <w:pPr>
        <w:ind w:left="1580" w:hanging="300"/>
      </w:pPr>
      <w:rPr>
        <w:rFonts w:hint="default"/>
        <w:lang w:val="en-us" w:eastAsia="en-us" w:bidi="en-us"/>
      </w:rPr>
    </w:lvl>
    <w:lvl w:ilvl="3">
      <w:start w:val="0"/>
      <w:numFmt w:val="bullet"/>
      <w:lvlText w:val="•"/>
      <w:lvlJc w:val="left"/>
      <w:pPr>
        <w:ind w:left="2150" w:hanging="300"/>
      </w:pPr>
      <w:rPr>
        <w:rFonts w:hint="default"/>
        <w:lang w:val="en-us" w:eastAsia="en-us" w:bidi="en-us"/>
      </w:rPr>
    </w:lvl>
    <w:lvl w:ilvl="4">
      <w:start w:val="0"/>
      <w:numFmt w:val="bullet"/>
      <w:lvlText w:val="•"/>
      <w:lvlJc w:val="left"/>
      <w:pPr>
        <w:ind w:left="2720" w:hanging="300"/>
      </w:pPr>
      <w:rPr>
        <w:rFonts w:hint="default"/>
        <w:lang w:val="en-us" w:eastAsia="en-us" w:bidi="en-us"/>
      </w:rPr>
    </w:lvl>
    <w:lvl w:ilvl="5">
      <w:start w:val="0"/>
      <w:numFmt w:val="bullet"/>
      <w:lvlText w:val="•"/>
      <w:lvlJc w:val="left"/>
      <w:pPr>
        <w:ind w:left="3290" w:hanging="300"/>
      </w:pPr>
      <w:rPr>
        <w:rFonts w:hint="default"/>
        <w:lang w:val="en-us" w:eastAsia="en-us" w:bidi="en-us"/>
      </w:rPr>
    </w:lvl>
    <w:lvl w:ilvl="6">
      <w:start w:val="0"/>
      <w:numFmt w:val="bullet"/>
      <w:lvlText w:val="•"/>
      <w:lvlJc w:val="left"/>
      <w:pPr>
        <w:ind w:left="3860" w:hanging="300"/>
      </w:pPr>
      <w:rPr>
        <w:rFonts w:hint="default"/>
        <w:lang w:val="en-us" w:eastAsia="en-us" w:bidi="en-us"/>
      </w:rPr>
    </w:lvl>
    <w:lvl w:ilvl="7">
      <w:start w:val="0"/>
      <w:numFmt w:val="bullet"/>
      <w:lvlText w:val="•"/>
      <w:lvlJc w:val="left"/>
      <w:pPr>
        <w:ind w:left="4430" w:hanging="300"/>
      </w:pPr>
      <w:rPr>
        <w:rFonts w:hint="default"/>
        <w:lang w:val="en-us" w:eastAsia="en-us" w:bidi="en-us"/>
      </w:rPr>
    </w:lvl>
    <w:lvl w:ilvl="8">
      <w:start w:val="0"/>
      <w:numFmt w:val="bullet"/>
      <w:lvlText w:val="•"/>
      <w:lvlJc w:val="left"/>
      <w:pPr>
        <w:ind w:left="5000" w:hanging="300"/>
      </w:pPr>
      <w:rPr>
        <w:rFonts w:hint="default"/>
        <w:lang w:val="en-us" w:eastAsia="en-us" w:bidi="en-us"/>
      </w:rPr>
    </w:lvl>
  </w:abstractNum>
  <w:abstractNum w:abstractNumId="10">
    <w:multiLevelType w:val="hybridMultilevel"/>
    <w:lvl w:ilvl="0">
      <w:start w:val="1"/>
      <w:numFmt w:val="decimal"/>
      <w:lvlText w:val="%1"/>
      <w:lvlJc w:val="left"/>
      <w:pPr>
        <w:ind w:left="439" w:hanging="300"/>
        <w:jc w:val="left"/>
      </w:pPr>
      <w:rPr>
        <w:rFonts w:hint="default" w:ascii="Arial" w:hAnsi="Arial" w:eastAsia="Arial" w:cs="Arial"/>
        <w:b/>
        <w:bCs/>
        <w:w w:val="89"/>
        <w:sz w:val="16"/>
        <w:szCs w:val="16"/>
        <w:lang w:val="en-us" w:eastAsia="en-us" w:bidi="en-us"/>
      </w:rPr>
    </w:lvl>
    <w:lvl w:ilvl="1">
      <w:start w:val="1"/>
      <w:numFmt w:val="decimal"/>
      <w:lvlText w:val="%1.%2"/>
      <w:lvlJc w:val="left"/>
      <w:pPr>
        <w:ind w:left="439" w:hanging="300"/>
        <w:jc w:val="left"/>
      </w:pPr>
      <w:rPr>
        <w:rFonts w:hint="default" w:ascii="Arial" w:hAnsi="Arial" w:eastAsia="Arial" w:cs="Arial"/>
        <w:b/>
        <w:bCs/>
        <w:w w:val="95"/>
        <w:sz w:val="16"/>
        <w:szCs w:val="16"/>
        <w:lang w:val="en-us" w:eastAsia="en-us" w:bidi="en-us"/>
      </w:rPr>
    </w:lvl>
    <w:lvl w:ilvl="2">
      <w:start w:val="0"/>
      <w:numFmt w:val="bullet"/>
      <w:lvlText w:val="•"/>
      <w:lvlJc w:val="left"/>
      <w:pPr>
        <w:ind w:left="860" w:hanging="420"/>
      </w:pPr>
      <w:rPr>
        <w:rFonts w:hint="default" w:ascii="Arial" w:hAnsi="Arial" w:eastAsia="Arial" w:cs="Arial"/>
        <w:w w:val="95"/>
        <w:sz w:val="16"/>
        <w:szCs w:val="16"/>
        <w:lang w:val="en-us" w:eastAsia="en-us" w:bidi="en-us"/>
      </w:rPr>
    </w:lvl>
    <w:lvl w:ilvl="3">
      <w:start w:val="0"/>
      <w:numFmt w:val="bullet"/>
      <w:lvlText w:val="•"/>
      <w:lvlJc w:val="left"/>
      <w:pPr>
        <w:ind w:left="560" w:hanging="420"/>
      </w:pPr>
      <w:rPr>
        <w:rFonts w:hint="default"/>
        <w:lang w:val="en-us" w:eastAsia="en-us" w:bidi="en-us"/>
      </w:rPr>
    </w:lvl>
    <w:lvl w:ilvl="4">
      <w:start w:val="0"/>
      <w:numFmt w:val="bullet"/>
      <w:lvlText w:val="•"/>
      <w:lvlJc w:val="left"/>
      <w:pPr>
        <w:ind w:left="860" w:hanging="420"/>
      </w:pPr>
      <w:rPr>
        <w:rFonts w:hint="default"/>
        <w:lang w:val="en-us" w:eastAsia="en-us" w:bidi="en-us"/>
      </w:rPr>
    </w:lvl>
    <w:lvl w:ilvl="5">
      <w:start w:val="0"/>
      <w:numFmt w:val="bullet"/>
      <w:lvlText w:val="•"/>
      <w:lvlJc w:val="left"/>
      <w:pPr>
        <w:ind w:left="706" w:hanging="420"/>
      </w:pPr>
      <w:rPr>
        <w:rFonts w:hint="default"/>
        <w:lang w:val="en-us" w:eastAsia="en-us" w:bidi="en-us"/>
      </w:rPr>
    </w:lvl>
    <w:lvl w:ilvl="6">
      <w:start w:val="0"/>
      <w:numFmt w:val="bullet"/>
      <w:lvlText w:val="•"/>
      <w:lvlJc w:val="left"/>
      <w:pPr>
        <w:ind w:left="553" w:hanging="420"/>
      </w:pPr>
      <w:rPr>
        <w:rFonts w:hint="default"/>
        <w:lang w:val="en-us" w:eastAsia="en-us" w:bidi="en-us"/>
      </w:rPr>
    </w:lvl>
    <w:lvl w:ilvl="7">
      <w:start w:val="0"/>
      <w:numFmt w:val="bullet"/>
      <w:lvlText w:val="•"/>
      <w:lvlJc w:val="left"/>
      <w:pPr>
        <w:ind w:left="400" w:hanging="420"/>
      </w:pPr>
      <w:rPr>
        <w:rFonts w:hint="default"/>
        <w:lang w:val="en-us" w:eastAsia="en-us" w:bidi="en-us"/>
      </w:rPr>
    </w:lvl>
    <w:lvl w:ilvl="8">
      <w:start w:val="0"/>
      <w:numFmt w:val="bullet"/>
      <w:lvlText w:val="•"/>
      <w:lvlJc w:val="left"/>
      <w:pPr>
        <w:ind w:left="246" w:hanging="420"/>
      </w:pPr>
      <w:rPr>
        <w:rFonts w:hint="default"/>
        <w:lang w:val="en-us" w:eastAsia="en-us" w:bidi="en-us"/>
      </w:rPr>
    </w:lvl>
  </w:abstractNum>
  <w:abstractNum w:abstractNumId="9">
    <w:multiLevelType w:val="hybridMultilevel"/>
    <w:lvl w:ilvl="0">
      <w:start w:val="16"/>
      <w:numFmt w:val="decimal"/>
      <w:lvlText w:val="%1"/>
      <w:lvlJc w:val="left"/>
      <w:pPr>
        <w:ind w:left="440" w:hanging="300"/>
        <w:jc w:val="left"/>
      </w:pPr>
      <w:rPr>
        <w:rFonts w:hint="default" w:ascii="Arial" w:hAnsi="Arial" w:eastAsia="Arial" w:cs="Arial"/>
        <w:b/>
        <w:bCs/>
        <w:w w:val="89"/>
        <w:sz w:val="16"/>
        <w:szCs w:val="16"/>
        <w:lang w:val="en-us" w:eastAsia="en-us" w:bidi="en-us"/>
      </w:rPr>
    </w:lvl>
    <w:lvl w:ilvl="1">
      <w:start w:val="1"/>
      <w:numFmt w:val="decimal"/>
      <w:lvlText w:val="%1.%2"/>
      <w:lvlJc w:val="left"/>
      <w:pPr>
        <w:ind w:left="880" w:hanging="440"/>
        <w:jc w:val="left"/>
      </w:pPr>
      <w:rPr>
        <w:rFonts w:hint="default" w:ascii="Arial" w:hAnsi="Arial" w:eastAsia="Arial" w:cs="Arial"/>
        <w:w w:val="89"/>
        <w:sz w:val="16"/>
        <w:szCs w:val="16"/>
        <w:lang w:val="en-us" w:eastAsia="en-us" w:bidi="en-us"/>
      </w:rPr>
    </w:lvl>
    <w:lvl w:ilvl="2">
      <w:start w:val="0"/>
      <w:numFmt w:val="bullet"/>
      <w:lvlText w:val="•"/>
      <w:lvlJc w:val="left"/>
      <w:pPr>
        <w:ind w:left="1464" w:hanging="440"/>
      </w:pPr>
      <w:rPr>
        <w:rFonts w:hint="default"/>
        <w:lang w:val="en-us" w:eastAsia="en-us" w:bidi="en-us"/>
      </w:rPr>
    </w:lvl>
    <w:lvl w:ilvl="3">
      <w:start w:val="0"/>
      <w:numFmt w:val="bullet"/>
      <w:lvlText w:val="•"/>
      <w:lvlJc w:val="left"/>
      <w:pPr>
        <w:ind w:left="2048" w:hanging="440"/>
      </w:pPr>
      <w:rPr>
        <w:rFonts w:hint="default"/>
        <w:lang w:val="en-us" w:eastAsia="en-us" w:bidi="en-us"/>
      </w:rPr>
    </w:lvl>
    <w:lvl w:ilvl="4">
      <w:start w:val="0"/>
      <w:numFmt w:val="bullet"/>
      <w:lvlText w:val="•"/>
      <w:lvlJc w:val="left"/>
      <w:pPr>
        <w:ind w:left="2633" w:hanging="440"/>
      </w:pPr>
      <w:rPr>
        <w:rFonts w:hint="default"/>
        <w:lang w:val="en-us" w:eastAsia="en-us" w:bidi="en-us"/>
      </w:rPr>
    </w:lvl>
    <w:lvl w:ilvl="5">
      <w:start w:val="0"/>
      <w:numFmt w:val="bullet"/>
      <w:lvlText w:val="•"/>
      <w:lvlJc w:val="left"/>
      <w:pPr>
        <w:ind w:left="3217" w:hanging="440"/>
      </w:pPr>
      <w:rPr>
        <w:rFonts w:hint="default"/>
        <w:lang w:val="en-us" w:eastAsia="en-us" w:bidi="en-us"/>
      </w:rPr>
    </w:lvl>
    <w:lvl w:ilvl="6">
      <w:start w:val="0"/>
      <w:numFmt w:val="bullet"/>
      <w:lvlText w:val="•"/>
      <w:lvlJc w:val="left"/>
      <w:pPr>
        <w:ind w:left="3802" w:hanging="440"/>
      </w:pPr>
      <w:rPr>
        <w:rFonts w:hint="default"/>
        <w:lang w:val="en-us" w:eastAsia="en-us" w:bidi="en-us"/>
      </w:rPr>
    </w:lvl>
    <w:lvl w:ilvl="7">
      <w:start w:val="0"/>
      <w:numFmt w:val="bullet"/>
      <w:lvlText w:val="•"/>
      <w:lvlJc w:val="left"/>
      <w:pPr>
        <w:ind w:left="4386" w:hanging="440"/>
      </w:pPr>
      <w:rPr>
        <w:rFonts w:hint="default"/>
        <w:lang w:val="en-us" w:eastAsia="en-us" w:bidi="en-us"/>
      </w:rPr>
    </w:lvl>
    <w:lvl w:ilvl="8">
      <w:start w:val="0"/>
      <w:numFmt w:val="bullet"/>
      <w:lvlText w:val="•"/>
      <w:lvlJc w:val="left"/>
      <w:pPr>
        <w:ind w:left="4971" w:hanging="440"/>
      </w:pPr>
      <w:rPr>
        <w:rFonts w:hint="default"/>
        <w:lang w:val="en-us" w:eastAsia="en-us" w:bidi="en-us"/>
      </w:rPr>
    </w:lvl>
  </w:abstractNum>
  <w:abstractNum w:abstractNumId="8">
    <w:multiLevelType w:val="hybridMultilevel"/>
    <w:lvl w:ilvl="0">
      <w:start w:val="11"/>
      <w:numFmt w:val="decimal"/>
      <w:lvlText w:val="%1"/>
      <w:lvlJc w:val="left"/>
      <w:pPr>
        <w:ind w:left="440" w:hanging="300"/>
        <w:jc w:val="left"/>
      </w:pPr>
      <w:rPr>
        <w:rFonts w:hint="default" w:ascii="Arial" w:hAnsi="Arial" w:eastAsia="Arial" w:cs="Arial"/>
        <w:b/>
        <w:bCs/>
        <w:w w:val="89"/>
        <w:sz w:val="16"/>
        <w:szCs w:val="16"/>
        <w:lang w:val="en-us" w:eastAsia="en-us" w:bidi="en-us"/>
      </w:rPr>
    </w:lvl>
    <w:lvl w:ilvl="1">
      <w:start w:val="1"/>
      <w:numFmt w:val="decimal"/>
      <w:lvlText w:val="%1.%2"/>
      <w:lvlJc w:val="left"/>
      <w:pPr>
        <w:ind w:left="880" w:hanging="440"/>
        <w:jc w:val="left"/>
      </w:pPr>
      <w:rPr>
        <w:rFonts w:hint="default" w:ascii="Arial" w:hAnsi="Arial" w:eastAsia="Arial" w:cs="Arial"/>
        <w:w w:val="89"/>
        <w:sz w:val="16"/>
        <w:szCs w:val="16"/>
        <w:lang w:val="en-us" w:eastAsia="en-us" w:bidi="en-us"/>
      </w:rPr>
    </w:lvl>
    <w:lvl w:ilvl="2">
      <w:start w:val="0"/>
      <w:numFmt w:val="bullet"/>
      <w:lvlText w:val="•"/>
      <w:lvlJc w:val="left"/>
      <w:pPr>
        <w:ind w:left="639" w:hanging="440"/>
      </w:pPr>
      <w:rPr>
        <w:rFonts w:hint="default"/>
        <w:lang w:val="en-us" w:eastAsia="en-us" w:bidi="en-us"/>
      </w:rPr>
    </w:lvl>
    <w:lvl w:ilvl="3">
      <w:start w:val="0"/>
      <w:numFmt w:val="bullet"/>
      <w:lvlText w:val="•"/>
      <w:lvlJc w:val="left"/>
      <w:pPr>
        <w:ind w:left="398" w:hanging="440"/>
      </w:pPr>
      <w:rPr>
        <w:rFonts w:hint="default"/>
        <w:lang w:val="en-us" w:eastAsia="en-us" w:bidi="en-us"/>
      </w:rPr>
    </w:lvl>
    <w:lvl w:ilvl="4">
      <w:start w:val="0"/>
      <w:numFmt w:val="bullet"/>
      <w:lvlText w:val="•"/>
      <w:lvlJc w:val="left"/>
      <w:pPr>
        <w:ind w:left="157" w:hanging="440"/>
      </w:pPr>
      <w:rPr>
        <w:rFonts w:hint="default"/>
        <w:lang w:val="en-us" w:eastAsia="en-us" w:bidi="en-us"/>
      </w:rPr>
    </w:lvl>
    <w:lvl w:ilvl="5">
      <w:start w:val="0"/>
      <w:numFmt w:val="bullet"/>
      <w:lvlText w:val="•"/>
      <w:lvlJc w:val="left"/>
      <w:pPr>
        <w:ind w:left="-84" w:hanging="440"/>
      </w:pPr>
      <w:rPr>
        <w:rFonts w:hint="default"/>
        <w:lang w:val="en-us" w:eastAsia="en-us" w:bidi="en-us"/>
      </w:rPr>
    </w:lvl>
    <w:lvl w:ilvl="6">
      <w:start w:val="0"/>
      <w:numFmt w:val="bullet"/>
      <w:lvlText w:val="•"/>
      <w:lvlJc w:val="left"/>
      <w:pPr>
        <w:ind w:left="-325" w:hanging="440"/>
      </w:pPr>
      <w:rPr>
        <w:rFonts w:hint="default"/>
        <w:lang w:val="en-us" w:eastAsia="en-us" w:bidi="en-us"/>
      </w:rPr>
    </w:lvl>
    <w:lvl w:ilvl="7">
      <w:start w:val="0"/>
      <w:numFmt w:val="bullet"/>
      <w:lvlText w:val="•"/>
      <w:lvlJc w:val="left"/>
      <w:pPr>
        <w:ind w:left="-566" w:hanging="440"/>
      </w:pPr>
      <w:rPr>
        <w:rFonts w:hint="default"/>
        <w:lang w:val="en-us" w:eastAsia="en-us" w:bidi="en-us"/>
      </w:rPr>
    </w:lvl>
    <w:lvl w:ilvl="8">
      <w:start w:val="0"/>
      <w:numFmt w:val="bullet"/>
      <w:lvlText w:val="•"/>
      <w:lvlJc w:val="left"/>
      <w:pPr>
        <w:ind w:left="-807" w:hanging="440"/>
      </w:pPr>
      <w:rPr>
        <w:rFonts w:hint="default"/>
        <w:lang w:val="en-us" w:eastAsia="en-us" w:bidi="en-us"/>
      </w:rPr>
    </w:lvl>
  </w:abstractNum>
  <w:abstractNum w:abstractNumId="7">
    <w:multiLevelType w:val="hybridMultilevel"/>
    <w:lvl w:ilvl="0">
      <w:start w:val="8"/>
      <w:numFmt w:val="decimal"/>
      <w:lvlText w:val="%1"/>
      <w:lvlJc w:val="left"/>
      <w:pPr>
        <w:ind w:left="879" w:hanging="440"/>
        <w:jc w:val="left"/>
      </w:pPr>
      <w:rPr>
        <w:rFonts w:hint="default"/>
        <w:lang w:val="en-us" w:eastAsia="en-us" w:bidi="en-us"/>
      </w:rPr>
    </w:lvl>
    <w:lvl w:ilvl="1">
      <w:start w:val="4"/>
      <w:numFmt w:val="decimal"/>
      <w:lvlText w:val="%1.%2"/>
      <w:lvlJc w:val="left"/>
      <w:pPr>
        <w:ind w:left="879" w:hanging="440"/>
        <w:jc w:val="right"/>
      </w:pPr>
      <w:rPr>
        <w:rFonts w:hint="default" w:ascii="Arial" w:hAnsi="Arial" w:eastAsia="Arial" w:cs="Arial"/>
        <w:w w:val="89"/>
        <w:sz w:val="16"/>
        <w:szCs w:val="16"/>
        <w:lang w:val="en-us" w:eastAsia="en-us" w:bidi="en-us"/>
      </w:rPr>
    </w:lvl>
    <w:lvl w:ilvl="2">
      <w:start w:val="0"/>
      <w:numFmt w:val="bullet"/>
      <w:lvlText w:val="•"/>
      <w:lvlJc w:val="left"/>
      <w:pPr>
        <w:ind w:left="1931" w:hanging="440"/>
      </w:pPr>
      <w:rPr>
        <w:rFonts w:hint="default"/>
        <w:lang w:val="en-us" w:eastAsia="en-us" w:bidi="en-us"/>
      </w:rPr>
    </w:lvl>
    <w:lvl w:ilvl="3">
      <w:start w:val="0"/>
      <w:numFmt w:val="bullet"/>
      <w:lvlText w:val="•"/>
      <w:lvlJc w:val="left"/>
      <w:pPr>
        <w:ind w:left="2457" w:hanging="440"/>
      </w:pPr>
      <w:rPr>
        <w:rFonts w:hint="default"/>
        <w:lang w:val="en-us" w:eastAsia="en-us" w:bidi="en-us"/>
      </w:rPr>
    </w:lvl>
    <w:lvl w:ilvl="4">
      <w:start w:val="0"/>
      <w:numFmt w:val="bullet"/>
      <w:lvlText w:val="•"/>
      <w:lvlJc w:val="left"/>
      <w:pPr>
        <w:ind w:left="2983" w:hanging="440"/>
      </w:pPr>
      <w:rPr>
        <w:rFonts w:hint="default"/>
        <w:lang w:val="en-us" w:eastAsia="en-us" w:bidi="en-us"/>
      </w:rPr>
    </w:lvl>
    <w:lvl w:ilvl="5">
      <w:start w:val="0"/>
      <w:numFmt w:val="bullet"/>
      <w:lvlText w:val="•"/>
      <w:lvlJc w:val="left"/>
      <w:pPr>
        <w:ind w:left="3509" w:hanging="440"/>
      </w:pPr>
      <w:rPr>
        <w:rFonts w:hint="default"/>
        <w:lang w:val="en-us" w:eastAsia="en-us" w:bidi="en-us"/>
      </w:rPr>
    </w:lvl>
    <w:lvl w:ilvl="6">
      <w:start w:val="0"/>
      <w:numFmt w:val="bullet"/>
      <w:lvlText w:val="•"/>
      <w:lvlJc w:val="left"/>
      <w:pPr>
        <w:ind w:left="4035" w:hanging="440"/>
      </w:pPr>
      <w:rPr>
        <w:rFonts w:hint="default"/>
        <w:lang w:val="en-us" w:eastAsia="en-us" w:bidi="en-us"/>
      </w:rPr>
    </w:lvl>
    <w:lvl w:ilvl="7">
      <w:start w:val="0"/>
      <w:numFmt w:val="bullet"/>
      <w:lvlText w:val="•"/>
      <w:lvlJc w:val="left"/>
      <w:pPr>
        <w:ind w:left="4561" w:hanging="440"/>
      </w:pPr>
      <w:rPr>
        <w:rFonts w:hint="default"/>
        <w:lang w:val="en-us" w:eastAsia="en-us" w:bidi="en-us"/>
      </w:rPr>
    </w:lvl>
    <w:lvl w:ilvl="8">
      <w:start w:val="0"/>
      <w:numFmt w:val="bullet"/>
      <w:lvlText w:val="•"/>
      <w:lvlJc w:val="left"/>
      <w:pPr>
        <w:ind w:left="5087" w:hanging="440"/>
      </w:pPr>
      <w:rPr>
        <w:rFonts w:hint="default"/>
        <w:lang w:val="en-us" w:eastAsia="en-us" w:bidi="en-us"/>
      </w:rPr>
    </w:lvl>
  </w:abstractNum>
  <w:abstractNum w:abstractNumId="6">
    <w:multiLevelType w:val="hybridMultilevel"/>
    <w:lvl w:ilvl="0">
      <w:start w:val="8"/>
      <w:numFmt w:val="decimal"/>
      <w:lvlText w:val="%1"/>
      <w:lvlJc w:val="left"/>
      <w:pPr>
        <w:ind w:left="439" w:hanging="300"/>
        <w:jc w:val="left"/>
      </w:pPr>
      <w:rPr>
        <w:rFonts w:hint="default" w:ascii="Arial" w:hAnsi="Arial" w:eastAsia="Arial" w:cs="Arial"/>
        <w:b/>
        <w:bCs/>
        <w:w w:val="89"/>
        <w:sz w:val="16"/>
        <w:szCs w:val="16"/>
        <w:lang w:val="en-us" w:eastAsia="en-us" w:bidi="en-us"/>
      </w:rPr>
    </w:lvl>
    <w:lvl w:ilvl="1">
      <w:start w:val="1"/>
      <w:numFmt w:val="decimal"/>
      <w:lvlText w:val="%1.%2"/>
      <w:lvlJc w:val="left"/>
      <w:pPr>
        <w:ind w:left="879" w:hanging="440"/>
        <w:jc w:val="left"/>
      </w:pPr>
      <w:rPr>
        <w:rFonts w:hint="default" w:ascii="Arial" w:hAnsi="Arial" w:eastAsia="Arial" w:cs="Arial"/>
        <w:w w:val="89"/>
        <w:sz w:val="16"/>
        <w:szCs w:val="16"/>
        <w:lang w:val="en-us" w:eastAsia="en-us" w:bidi="en-us"/>
      </w:rPr>
    </w:lvl>
    <w:lvl w:ilvl="2">
      <w:start w:val="0"/>
      <w:numFmt w:val="bullet"/>
      <w:lvlText w:val="•"/>
      <w:lvlJc w:val="left"/>
      <w:pPr>
        <w:ind w:left="1464" w:hanging="440"/>
      </w:pPr>
      <w:rPr>
        <w:rFonts w:hint="default"/>
        <w:lang w:val="en-us" w:eastAsia="en-us" w:bidi="en-us"/>
      </w:rPr>
    </w:lvl>
    <w:lvl w:ilvl="3">
      <w:start w:val="0"/>
      <w:numFmt w:val="bullet"/>
      <w:lvlText w:val="•"/>
      <w:lvlJc w:val="left"/>
      <w:pPr>
        <w:ind w:left="2048" w:hanging="440"/>
      </w:pPr>
      <w:rPr>
        <w:rFonts w:hint="default"/>
        <w:lang w:val="en-us" w:eastAsia="en-us" w:bidi="en-us"/>
      </w:rPr>
    </w:lvl>
    <w:lvl w:ilvl="4">
      <w:start w:val="0"/>
      <w:numFmt w:val="bullet"/>
      <w:lvlText w:val="•"/>
      <w:lvlJc w:val="left"/>
      <w:pPr>
        <w:ind w:left="2633" w:hanging="440"/>
      </w:pPr>
      <w:rPr>
        <w:rFonts w:hint="default"/>
        <w:lang w:val="en-us" w:eastAsia="en-us" w:bidi="en-us"/>
      </w:rPr>
    </w:lvl>
    <w:lvl w:ilvl="5">
      <w:start w:val="0"/>
      <w:numFmt w:val="bullet"/>
      <w:lvlText w:val="•"/>
      <w:lvlJc w:val="left"/>
      <w:pPr>
        <w:ind w:left="3217" w:hanging="440"/>
      </w:pPr>
      <w:rPr>
        <w:rFonts w:hint="default"/>
        <w:lang w:val="en-us" w:eastAsia="en-us" w:bidi="en-us"/>
      </w:rPr>
    </w:lvl>
    <w:lvl w:ilvl="6">
      <w:start w:val="0"/>
      <w:numFmt w:val="bullet"/>
      <w:lvlText w:val="•"/>
      <w:lvlJc w:val="left"/>
      <w:pPr>
        <w:ind w:left="3802" w:hanging="440"/>
      </w:pPr>
      <w:rPr>
        <w:rFonts w:hint="default"/>
        <w:lang w:val="en-us" w:eastAsia="en-us" w:bidi="en-us"/>
      </w:rPr>
    </w:lvl>
    <w:lvl w:ilvl="7">
      <w:start w:val="0"/>
      <w:numFmt w:val="bullet"/>
      <w:lvlText w:val="•"/>
      <w:lvlJc w:val="left"/>
      <w:pPr>
        <w:ind w:left="4386" w:hanging="440"/>
      </w:pPr>
      <w:rPr>
        <w:rFonts w:hint="default"/>
        <w:lang w:val="en-us" w:eastAsia="en-us" w:bidi="en-us"/>
      </w:rPr>
    </w:lvl>
    <w:lvl w:ilvl="8">
      <w:start w:val="0"/>
      <w:numFmt w:val="bullet"/>
      <w:lvlText w:val="•"/>
      <w:lvlJc w:val="left"/>
      <w:pPr>
        <w:ind w:left="4970" w:hanging="440"/>
      </w:pPr>
      <w:rPr>
        <w:rFonts w:hint="default"/>
        <w:lang w:val="en-us" w:eastAsia="en-us" w:bidi="en-us"/>
      </w:rPr>
    </w:lvl>
  </w:abstractNum>
  <w:abstractNum w:abstractNumId="5">
    <w:multiLevelType w:val="hybridMultilevel"/>
    <w:lvl w:ilvl="0">
      <w:start w:val="4"/>
      <w:numFmt w:val="decimal"/>
      <w:lvlText w:val="%1"/>
      <w:lvlJc w:val="left"/>
      <w:pPr>
        <w:ind w:left="439" w:hanging="300"/>
        <w:jc w:val="left"/>
      </w:pPr>
      <w:rPr>
        <w:rFonts w:hint="default" w:ascii="Arial" w:hAnsi="Arial" w:eastAsia="Arial" w:cs="Arial"/>
        <w:b/>
        <w:bCs/>
        <w:w w:val="89"/>
        <w:sz w:val="16"/>
        <w:szCs w:val="16"/>
        <w:lang w:val="en-us" w:eastAsia="en-us" w:bidi="en-us"/>
      </w:rPr>
    </w:lvl>
    <w:lvl w:ilvl="1">
      <w:start w:val="1"/>
      <w:numFmt w:val="decimal"/>
      <w:lvlText w:val="%1.%2"/>
      <w:lvlJc w:val="left"/>
      <w:pPr>
        <w:ind w:left="880" w:hanging="441"/>
        <w:jc w:val="left"/>
      </w:pPr>
      <w:rPr>
        <w:rFonts w:hint="default" w:ascii="Arial" w:hAnsi="Arial" w:eastAsia="Arial" w:cs="Arial"/>
        <w:w w:val="89"/>
        <w:sz w:val="16"/>
        <w:szCs w:val="16"/>
        <w:lang w:val="en-us" w:eastAsia="en-us" w:bidi="en-us"/>
      </w:rPr>
    </w:lvl>
    <w:lvl w:ilvl="2">
      <w:start w:val="0"/>
      <w:numFmt w:val="bullet"/>
      <w:lvlText w:val="•"/>
      <w:lvlJc w:val="left"/>
      <w:pPr>
        <w:ind w:left="1387" w:hanging="441"/>
      </w:pPr>
      <w:rPr>
        <w:rFonts w:hint="default"/>
        <w:lang w:val="en-us" w:eastAsia="en-us" w:bidi="en-us"/>
      </w:rPr>
    </w:lvl>
    <w:lvl w:ilvl="3">
      <w:start w:val="0"/>
      <w:numFmt w:val="bullet"/>
      <w:lvlText w:val="•"/>
      <w:lvlJc w:val="left"/>
      <w:pPr>
        <w:ind w:left="1894" w:hanging="441"/>
      </w:pPr>
      <w:rPr>
        <w:rFonts w:hint="default"/>
        <w:lang w:val="en-us" w:eastAsia="en-us" w:bidi="en-us"/>
      </w:rPr>
    </w:lvl>
    <w:lvl w:ilvl="4">
      <w:start w:val="0"/>
      <w:numFmt w:val="bullet"/>
      <w:lvlText w:val="•"/>
      <w:lvlJc w:val="left"/>
      <w:pPr>
        <w:ind w:left="2402" w:hanging="441"/>
      </w:pPr>
      <w:rPr>
        <w:rFonts w:hint="default"/>
        <w:lang w:val="en-us" w:eastAsia="en-us" w:bidi="en-us"/>
      </w:rPr>
    </w:lvl>
    <w:lvl w:ilvl="5">
      <w:start w:val="0"/>
      <w:numFmt w:val="bullet"/>
      <w:lvlText w:val="•"/>
      <w:lvlJc w:val="left"/>
      <w:pPr>
        <w:ind w:left="2909" w:hanging="441"/>
      </w:pPr>
      <w:rPr>
        <w:rFonts w:hint="default"/>
        <w:lang w:val="en-us" w:eastAsia="en-us" w:bidi="en-us"/>
      </w:rPr>
    </w:lvl>
    <w:lvl w:ilvl="6">
      <w:start w:val="0"/>
      <w:numFmt w:val="bullet"/>
      <w:lvlText w:val="•"/>
      <w:lvlJc w:val="left"/>
      <w:pPr>
        <w:ind w:left="3417" w:hanging="441"/>
      </w:pPr>
      <w:rPr>
        <w:rFonts w:hint="default"/>
        <w:lang w:val="en-us" w:eastAsia="en-us" w:bidi="en-us"/>
      </w:rPr>
    </w:lvl>
    <w:lvl w:ilvl="7">
      <w:start w:val="0"/>
      <w:numFmt w:val="bullet"/>
      <w:lvlText w:val="•"/>
      <w:lvlJc w:val="left"/>
      <w:pPr>
        <w:ind w:left="3924" w:hanging="441"/>
      </w:pPr>
      <w:rPr>
        <w:rFonts w:hint="default"/>
        <w:lang w:val="en-us" w:eastAsia="en-us" w:bidi="en-us"/>
      </w:rPr>
    </w:lvl>
    <w:lvl w:ilvl="8">
      <w:start w:val="0"/>
      <w:numFmt w:val="bullet"/>
      <w:lvlText w:val="•"/>
      <w:lvlJc w:val="left"/>
      <w:pPr>
        <w:ind w:left="4432" w:hanging="441"/>
      </w:pPr>
      <w:rPr>
        <w:rFonts w:hint="default"/>
        <w:lang w:val="en-us" w:eastAsia="en-us" w:bidi="en-us"/>
      </w:rPr>
    </w:lvl>
  </w:abstractNum>
  <w:abstractNum w:abstractNumId="4">
    <w:multiLevelType w:val="hybridMultilevel"/>
    <w:lvl w:ilvl="0">
      <w:start w:val="6"/>
      <w:numFmt w:val="decimal"/>
      <w:lvlText w:val="%1"/>
      <w:lvlJc w:val="left"/>
      <w:pPr>
        <w:ind w:left="880" w:hanging="440"/>
        <w:jc w:val="right"/>
      </w:pPr>
      <w:rPr>
        <w:rFonts w:hint="default"/>
        <w:lang w:val="en-us" w:eastAsia="en-us" w:bidi="en-us"/>
      </w:rPr>
    </w:lvl>
    <w:lvl w:ilvl="1">
      <w:start w:val="1"/>
      <w:numFmt w:val="decimal"/>
      <w:lvlText w:val="%1.%2"/>
      <w:lvlJc w:val="left"/>
      <w:pPr>
        <w:ind w:left="880" w:hanging="440"/>
        <w:jc w:val="left"/>
      </w:pPr>
      <w:rPr>
        <w:rFonts w:hint="default" w:ascii="Arial" w:hAnsi="Arial" w:eastAsia="Arial" w:cs="Arial"/>
        <w:w w:val="89"/>
        <w:sz w:val="16"/>
        <w:szCs w:val="16"/>
        <w:lang w:val="en-us" w:eastAsia="en-us" w:bidi="en-us"/>
      </w:rPr>
    </w:lvl>
    <w:lvl w:ilvl="2">
      <w:start w:val="0"/>
      <w:numFmt w:val="bullet"/>
      <w:lvlText w:val="•"/>
      <w:lvlJc w:val="left"/>
      <w:pPr>
        <w:ind w:left="1932" w:hanging="440"/>
      </w:pPr>
      <w:rPr>
        <w:rFonts w:hint="default"/>
        <w:lang w:val="en-us" w:eastAsia="en-us" w:bidi="en-us"/>
      </w:rPr>
    </w:lvl>
    <w:lvl w:ilvl="3">
      <w:start w:val="0"/>
      <w:numFmt w:val="bullet"/>
      <w:lvlText w:val="•"/>
      <w:lvlJc w:val="left"/>
      <w:pPr>
        <w:ind w:left="2458" w:hanging="440"/>
      </w:pPr>
      <w:rPr>
        <w:rFonts w:hint="default"/>
        <w:lang w:val="en-us" w:eastAsia="en-us" w:bidi="en-us"/>
      </w:rPr>
    </w:lvl>
    <w:lvl w:ilvl="4">
      <w:start w:val="0"/>
      <w:numFmt w:val="bullet"/>
      <w:lvlText w:val="•"/>
      <w:lvlJc w:val="left"/>
      <w:pPr>
        <w:ind w:left="2984" w:hanging="440"/>
      </w:pPr>
      <w:rPr>
        <w:rFonts w:hint="default"/>
        <w:lang w:val="en-us" w:eastAsia="en-us" w:bidi="en-us"/>
      </w:rPr>
    </w:lvl>
    <w:lvl w:ilvl="5">
      <w:start w:val="0"/>
      <w:numFmt w:val="bullet"/>
      <w:lvlText w:val="•"/>
      <w:lvlJc w:val="left"/>
      <w:pPr>
        <w:ind w:left="3510" w:hanging="440"/>
      </w:pPr>
      <w:rPr>
        <w:rFonts w:hint="default"/>
        <w:lang w:val="en-us" w:eastAsia="en-us" w:bidi="en-us"/>
      </w:rPr>
    </w:lvl>
    <w:lvl w:ilvl="6">
      <w:start w:val="0"/>
      <w:numFmt w:val="bullet"/>
      <w:lvlText w:val="•"/>
      <w:lvlJc w:val="left"/>
      <w:pPr>
        <w:ind w:left="4036" w:hanging="440"/>
      </w:pPr>
      <w:rPr>
        <w:rFonts w:hint="default"/>
        <w:lang w:val="en-us" w:eastAsia="en-us" w:bidi="en-us"/>
      </w:rPr>
    </w:lvl>
    <w:lvl w:ilvl="7">
      <w:start w:val="0"/>
      <w:numFmt w:val="bullet"/>
      <w:lvlText w:val="•"/>
      <w:lvlJc w:val="left"/>
      <w:pPr>
        <w:ind w:left="4562" w:hanging="440"/>
      </w:pPr>
      <w:rPr>
        <w:rFonts w:hint="default"/>
        <w:lang w:val="en-us" w:eastAsia="en-us" w:bidi="en-us"/>
      </w:rPr>
    </w:lvl>
    <w:lvl w:ilvl="8">
      <w:start w:val="0"/>
      <w:numFmt w:val="bullet"/>
      <w:lvlText w:val="•"/>
      <w:lvlJc w:val="left"/>
      <w:pPr>
        <w:ind w:left="5088" w:hanging="440"/>
      </w:pPr>
      <w:rPr>
        <w:rFonts w:hint="default"/>
        <w:lang w:val="en-us" w:eastAsia="en-us" w:bidi="en-us"/>
      </w:rPr>
    </w:lvl>
  </w:abstractNum>
  <w:abstractNum w:abstractNumId="3">
    <w:multiLevelType w:val="hybridMultilevel"/>
    <w:lvl w:ilvl="0">
      <w:start w:val="5"/>
      <w:numFmt w:val="decimal"/>
      <w:lvlText w:val="%1"/>
      <w:lvlJc w:val="left"/>
      <w:pPr>
        <w:ind w:left="880" w:hanging="440"/>
        <w:jc w:val="right"/>
      </w:pPr>
      <w:rPr>
        <w:rFonts w:hint="default"/>
        <w:lang w:val="en-us" w:eastAsia="en-us" w:bidi="en-us"/>
      </w:rPr>
    </w:lvl>
    <w:lvl w:ilvl="1">
      <w:start w:val="9"/>
      <w:numFmt w:val="decimal"/>
      <w:lvlText w:val="%1.%2"/>
      <w:lvlJc w:val="left"/>
      <w:pPr>
        <w:ind w:left="880" w:hanging="440"/>
        <w:jc w:val="left"/>
      </w:pPr>
      <w:rPr>
        <w:rFonts w:hint="default" w:ascii="Arial" w:hAnsi="Arial" w:eastAsia="Arial" w:cs="Arial"/>
        <w:w w:val="89"/>
        <w:sz w:val="16"/>
        <w:szCs w:val="16"/>
        <w:lang w:val="en-us" w:eastAsia="en-us" w:bidi="en-us"/>
      </w:rPr>
    </w:lvl>
    <w:lvl w:ilvl="2">
      <w:start w:val="0"/>
      <w:numFmt w:val="bullet"/>
      <w:lvlText w:val="•"/>
      <w:lvlJc w:val="left"/>
      <w:pPr>
        <w:ind w:left="1932" w:hanging="440"/>
      </w:pPr>
      <w:rPr>
        <w:rFonts w:hint="default"/>
        <w:lang w:val="en-us" w:eastAsia="en-us" w:bidi="en-us"/>
      </w:rPr>
    </w:lvl>
    <w:lvl w:ilvl="3">
      <w:start w:val="0"/>
      <w:numFmt w:val="bullet"/>
      <w:lvlText w:val="•"/>
      <w:lvlJc w:val="left"/>
      <w:pPr>
        <w:ind w:left="2458" w:hanging="440"/>
      </w:pPr>
      <w:rPr>
        <w:rFonts w:hint="default"/>
        <w:lang w:val="en-us" w:eastAsia="en-us" w:bidi="en-us"/>
      </w:rPr>
    </w:lvl>
    <w:lvl w:ilvl="4">
      <w:start w:val="0"/>
      <w:numFmt w:val="bullet"/>
      <w:lvlText w:val="•"/>
      <w:lvlJc w:val="left"/>
      <w:pPr>
        <w:ind w:left="2984" w:hanging="440"/>
      </w:pPr>
      <w:rPr>
        <w:rFonts w:hint="default"/>
        <w:lang w:val="en-us" w:eastAsia="en-us" w:bidi="en-us"/>
      </w:rPr>
    </w:lvl>
    <w:lvl w:ilvl="5">
      <w:start w:val="0"/>
      <w:numFmt w:val="bullet"/>
      <w:lvlText w:val="•"/>
      <w:lvlJc w:val="left"/>
      <w:pPr>
        <w:ind w:left="3510" w:hanging="440"/>
      </w:pPr>
      <w:rPr>
        <w:rFonts w:hint="default"/>
        <w:lang w:val="en-us" w:eastAsia="en-us" w:bidi="en-us"/>
      </w:rPr>
    </w:lvl>
    <w:lvl w:ilvl="6">
      <w:start w:val="0"/>
      <w:numFmt w:val="bullet"/>
      <w:lvlText w:val="•"/>
      <w:lvlJc w:val="left"/>
      <w:pPr>
        <w:ind w:left="4036" w:hanging="440"/>
      </w:pPr>
      <w:rPr>
        <w:rFonts w:hint="default"/>
        <w:lang w:val="en-us" w:eastAsia="en-us" w:bidi="en-us"/>
      </w:rPr>
    </w:lvl>
    <w:lvl w:ilvl="7">
      <w:start w:val="0"/>
      <w:numFmt w:val="bullet"/>
      <w:lvlText w:val="•"/>
      <w:lvlJc w:val="left"/>
      <w:pPr>
        <w:ind w:left="4562" w:hanging="440"/>
      </w:pPr>
      <w:rPr>
        <w:rFonts w:hint="default"/>
        <w:lang w:val="en-us" w:eastAsia="en-us" w:bidi="en-us"/>
      </w:rPr>
    </w:lvl>
    <w:lvl w:ilvl="8">
      <w:start w:val="0"/>
      <w:numFmt w:val="bullet"/>
      <w:lvlText w:val="•"/>
      <w:lvlJc w:val="left"/>
      <w:pPr>
        <w:ind w:left="5088" w:hanging="440"/>
      </w:pPr>
      <w:rPr>
        <w:rFonts w:hint="default"/>
        <w:lang w:val="en-us" w:eastAsia="en-us" w:bidi="en-us"/>
      </w:rPr>
    </w:lvl>
  </w:abstractNum>
  <w:abstractNum w:abstractNumId="2">
    <w:multiLevelType w:val="hybridMultilevel"/>
    <w:lvl w:ilvl="0">
      <w:start w:val="1"/>
      <w:numFmt w:val="decimal"/>
      <w:lvlText w:val="%1"/>
      <w:lvlJc w:val="left"/>
      <w:pPr>
        <w:ind w:left="440" w:hanging="300"/>
        <w:jc w:val="left"/>
      </w:pPr>
      <w:rPr>
        <w:rFonts w:hint="default" w:ascii="Arial" w:hAnsi="Arial" w:eastAsia="Arial" w:cs="Arial"/>
        <w:b/>
        <w:bCs/>
        <w:w w:val="89"/>
        <w:sz w:val="16"/>
        <w:szCs w:val="16"/>
        <w:lang w:val="en-us" w:eastAsia="en-us" w:bidi="en-us"/>
      </w:rPr>
    </w:lvl>
    <w:lvl w:ilvl="1">
      <w:start w:val="1"/>
      <w:numFmt w:val="decimal"/>
      <w:lvlText w:val="%1.%2"/>
      <w:lvlJc w:val="left"/>
      <w:pPr>
        <w:ind w:left="880" w:hanging="440"/>
        <w:jc w:val="left"/>
      </w:pPr>
      <w:rPr>
        <w:rFonts w:hint="default" w:ascii="Arial" w:hAnsi="Arial" w:eastAsia="Arial" w:cs="Arial"/>
        <w:w w:val="89"/>
        <w:sz w:val="16"/>
        <w:szCs w:val="16"/>
        <w:lang w:val="en-us" w:eastAsia="en-us" w:bidi="en-us"/>
      </w:rPr>
    </w:lvl>
    <w:lvl w:ilvl="2">
      <w:start w:val="0"/>
      <w:numFmt w:val="bullet"/>
      <w:lvlText w:val="•"/>
      <w:lvlJc w:val="left"/>
      <w:pPr>
        <w:ind w:left="1363" w:hanging="440"/>
      </w:pPr>
      <w:rPr>
        <w:rFonts w:hint="default"/>
        <w:lang w:val="en-us" w:eastAsia="en-us" w:bidi="en-us"/>
      </w:rPr>
    </w:lvl>
    <w:lvl w:ilvl="3">
      <w:start w:val="0"/>
      <w:numFmt w:val="bullet"/>
      <w:lvlText w:val="•"/>
      <w:lvlJc w:val="left"/>
      <w:pPr>
        <w:ind w:left="1846" w:hanging="440"/>
      </w:pPr>
      <w:rPr>
        <w:rFonts w:hint="default"/>
        <w:lang w:val="en-us" w:eastAsia="en-us" w:bidi="en-us"/>
      </w:rPr>
    </w:lvl>
    <w:lvl w:ilvl="4">
      <w:start w:val="0"/>
      <w:numFmt w:val="bullet"/>
      <w:lvlText w:val="•"/>
      <w:lvlJc w:val="left"/>
      <w:pPr>
        <w:ind w:left="2330" w:hanging="440"/>
      </w:pPr>
      <w:rPr>
        <w:rFonts w:hint="default"/>
        <w:lang w:val="en-us" w:eastAsia="en-us" w:bidi="en-us"/>
      </w:rPr>
    </w:lvl>
    <w:lvl w:ilvl="5">
      <w:start w:val="0"/>
      <w:numFmt w:val="bullet"/>
      <w:lvlText w:val="•"/>
      <w:lvlJc w:val="left"/>
      <w:pPr>
        <w:ind w:left="2813" w:hanging="440"/>
      </w:pPr>
      <w:rPr>
        <w:rFonts w:hint="default"/>
        <w:lang w:val="en-us" w:eastAsia="en-us" w:bidi="en-us"/>
      </w:rPr>
    </w:lvl>
    <w:lvl w:ilvl="6">
      <w:start w:val="0"/>
      <w:numFmt w:val="bullet"/>
      <w:lvlText w:val="•"/>
      <w:lvlJc w:val="left"/>
      <w:pPr>
        <w:ind w:left="3297" w:hanging="440"/>
      </w:pPr>
      <w:rPr>
        <w:rFonts w:hint="default"/>
        <w:lang w:val="en-us" w:eastAsia="en-us" w:bidi="en-us"/>
      </w:rPr>
    </w:lvl>
    <w:lvl w:ilvl="7">
      <w:start w:val="0"/>
      <w:numFmt w:val="bullet"/>
      <w:lvlText w:val="•"/>
      <w:lvlJc w:val="left"/>
      <w:pPr>
        <w:ind w:left="3780" w:hanging="440"/>
      </w:pPr>
      <w:rPr>
        <w:rFonts w:hint="default"/>
        <w:lang w:val="en-us" w:eastAsia="en-us" w:bidi="en-us"/>
      </w:rPr>
    </w:lvl>
    <w:lvl w:ilvl="8">
      <w:start w:val="0"/>
      <w:numFmt w:val="bullet"/>
      <w:lvlText w:val="•"/>
      <w:lvlJc w:val="left"/>
      <w:pPr>
        <w:ind w:left="4263" w:hanging="440"/>
      </w:pPr>
      <w:rPr>
        <w:rFonts w:hint="default"/>
        <w:lang w:val="en-us" w:eastAsia="en-us" w:bidi="en-us"/>
      </w:rPr>
    </w:lvl>
  </w:abstractNum>
  <w:abstractNum w:abstractNumId="1">
    <w:multiLevelType w:val="hybridMultilevel"/>
    <w:lvl w:ilvl="0">
      <w:start w:val="0"/>
      <w:numFmt w:val="bullet"/>
      <w:lvlText w:val="•"/>
      <w:lvlJc w:val="left"/>
      <w:pPr>
        <w:ind w:left="319" w:hanging="134"/>
      </w:pPr>
      <w:rPr>
        <w:rFonts w:hint="default" w:ascii="Arial" w:hAnsi="Arial" w:eastAsia="Arial" w:cs="Arial"/>
        <w:w w:val="95"/>
        <w:sz w:val="16"/>
        <w:szCs w:val="16"/>
        <w:lang w:val="en-us" w:eastAsia="en-us" w:bidi="en-us"/>
      </w:rPr>
    </w:lvl>
    <w:lvl w:ilvl="1">
      <w:start w:val="0"/>
      <w:numFmt w:val="bullet"/>
      <w:lvlText w:val="–"/>
      <w:lvlJc w:val="left"/>
      <w:pPr>
        <w:ind w:left="499" w:hanging="180"/>
      </w:pPr>
      <w:rPr>
        <w:rFonts w:hint="default" w:ascii="Arial" w:hAnsi="Arial" w:eastAsia="Arial" w:cs="Arial"/>
        <w:w w:val="89"/>
        <w:sz w:val="16"/>
        <w:szCs w:val="16"/>
        <w:lang w:val="en-us" w:eastAsia="en-us" w:bidi="en-us"/>
      </w:rPr>
    </w:lvl>
    <w:lvl w:ilvl="2">
      <w:start w:val="0"/>
      <w:numFmt w:val="bullet"/>
      <w:lvlText w:val="•"/>
      <w:lvlJc w:val="left"/>
      <w:pPr>
        <w:ind w:left="1051" w:hanging="180"/>
      </w:pPr>
      <w:rPr>
        <w:rFonts w:hint="default"/>
        <w:lang w:val="en-us" w:eastAsia="en-us" w:bidi="en-us"/>
      </w:rPr>
    </w:lvl>
    <w:lvl w:ilvl="3">
      <w:start w:val="0"/>
      <w:numFmt w:val="bullet"/>
      <w:lvlText w:val="•"/>
      <w:lvlJc w:val="left"/>
      <w:pPr>
        <w:ind w:left="1602" w:hanging="180"/>
      </w:pPr>
      <w:rPr>
        <w:rFonts w:hint="default"/>
        <w:lang w:val="en-us" w:eastAsia="en-us" w:bidi="en-us"/>
      </w:rPr>
    </w:lvl>
    <w:lvl w:ilvl="4">
      <w:start w:val="0"/>
      <w:numFmt w:val="bullet"/>
      <w:lvlText w:val="•"/>
      <w:lvlJc w:val="left"/>
      <w:pPr>
        <w:ind w:left="2153" w:hanging="180"/>
      </w:pPr>
      <w:rPr>
        <w:rFonts w:hint="default"/>
        <w:lang w:val="en-us" w:eastAsia="en-us" w:bidi="en-us"/>
      </w:rPr>
    </w:lvl>
    <w:lvl w:ilvl="5">
      <w:start w:val="0"/>
      <w:numFmt w:val="bullet"/>
      <w:lvlText w:val="•"/>
      <w:lvlJc w:val="left"/>
      <w:pPr>
        <w:ind w:left="2704" w:hanging="180"/>
      </w:pPr>
      <w:rPr>
        <w:rFonts w:hint="default"/>
        <w:lang w:val="en-us" w:eastAsia="en-us" w:bidi="en-us"/>
      </w:rPr>
    </w:lvl>
    <w:lvl w:ilvl="6">
      <w:start w:val="0"/>
      <w:numFmt w:val="bullet"/>
      <w:lvlText w:val="•"/>
      <w:lvlJc w:val="left"/>
      <w:pPr>
        <w:ind w:left="3255" w:hanging="180"/>
      </w:pPr>
      <w:rPr>
        <w:rFonts w:hint="default"/>
        <w:lang w:val="en-us" w:eastAsia="en-us" w:bidi="en-us"/>
      </w:rPr>
    </w:lvl>
    <w:lvl w:ilvl="7">
      <w:start w:val="0"/>
      <w:numFmt w:val="bullet"/>
      <w:lvlText w:val="•"/>
      <w:lvlJc w:val="left"/>
      <w:pPr>
        <w:ind w:left="3806" w:hanging="180"/>
      </w:pPr>
      <w:rPr>
        <w:rFonts w:hint="default"/>
        <w:lang w:val="en-us" w:eastAsia="en-us" w:bidi="en-us"/>
      </w:rPr>
    </w:lvl>
    <w:lvl w:ilvl="8">
      <w:start w:val="0"/>
      <w:numFmt w:val="bullet"/>
      <w:lvlText w:val="•"/>
      <w:lvlJc w:val="left"/>
      <w:pPr>
        <w:ind w:left="4358" w:hanging="180"/>
      </w:pPr>
      <w:rPr>
        <w:rFonts w:hint="default"/>
        <w:lang w:val="en-us" w:eastAsia="en-us" w:bidi="en-us"/>
      </w:rPr>
    </w:lvl>
  </w:abstractNum>
  <w:abstractNum w:abstractNumId="0">
    <w:multiLevelType w:val="hybridMultilevel"/>
    <w:lvl w:ilvl="0">
      <w:start w:val="0"/>
      <w:numFmt w:val="bullet"/>
      <w:lvlText w:val="•"/>
      <w:lvlJc w:val="left"/>
      <w:pPr>
        <w:ind w:left="449" w:hanging="251"/>
      </w:pPr>
      <w:rPr>
        <w:rFonts w:hint="default" w:ascii="Arial" w:hAnsi="Arial" w:eastAsia="Arial" w:cs="Arial"/>
        <w:b/>
        <w:bCs/>
        <w:w w:val="119"/>
        <w:sz w:val="16"/>
        <w:szCs w:val="16"/>
        <w:lang w:val="en-us" w:eastAsia="en-us" w:bidi="en-us"/>
      </w:rPr>
    </w:lvl>
    <w:lvl w:ilvl="1">
      <w:start w:val="0"/>
      <w:numFmt w:val="bullet"/>
      <w:lvlText w:val="•"/>
      <w:lvlJc w:val="left"/>
      <w:pPr>
        <w:ind w:left="919" w:hanging="251"/>
      </w:pPr>
      <w:rPr>
        <w:rFonts w:hint="default"/>
        <w:lang w:val="en-us" w:eastAsia="en-us" w:bidi="en-us"/>
      </w:rPr>
    </w:lvl>
    <w:lvl w:ilvl="2">
      <w:start w:val="0"/>
      <w:numFmt w:val="bullet"/>
      <w:lvlText w:val="•"/>
      <w:lvlJc w:val="left"/>
      <w:pPr>
        <w:ind w:left="1399" w:hanging="251"/>
      </w:pPr>
      <w:rPr>
        <w:rFonts w:hint="default"/>
        <w:lang w:val="en-us" w:eastAsia="en-us" w:bidi="en-us"/>
      </w:rPr>
    </w:lvl>
    <w:lvl w:ilvl="3">
      <w:start w:val="0"/>
      <w:numFmt w:val="bullet"/>
      <w:lvlText w:val="•"/>
      <w:lvlJc w:val="left"/>
      <w:pPr>
        <w:ind w:left="1878" w:hanging="251"/>
      </w:pPr>
      <w:rPr>
        <w:rFonts w:hint="default"/>
        <w:lang w:val="en-us" w:eastAsia="en-us" w:bidi="en-us"/>
      </w:rPr>
    </w:lvl>
    <w:lvl w:ilvl="4">
      <w:start w:val="0"/>
      <w:numFmt w:val="bullet"/>
      <w:lvlText w:val="•"/>
      <w:lvlJc w:val="left"/>
      <w:pPr>
        <w:ind w:left="2358" w:hanging="251"/>
      </w:pPr>
      <w:rPr>
        <w:rFonts w:hint="default"/>
        <w:lang w:val="en-us" w:eastAsia="en-us" w:bidi="en-us"/>
      </w:rPr>
    </w:lvl>
    <w:lvl w:ilvl="5">
      <w:start w:val="0"/>
      <w:numFmt w:val="bullet"/>
      <w:lvlText w:val="•"/>
      <w:lvlJc w:val="left"/>
      <w:pPr>
        <w:ind w:left="2838" w:hanging="251"/>
      </w:pPr>
      <w:rPr>
        <w:rFonts w:hint="default"/>
        <w:lang w:val="en-us" w:eastAsia="en-us" w:bidi="en-us"/>
      </w:rPr>
    </w:lvl>
    <w:lvl w:ilvl="6">
      <w:start w:val="0"/>
      <w:numFmt w:val="bullet"/>
      <w:lvlText w:val="•"/>
      <w:lvlJc w:val="left"/>
      <w:pPr>
        <w:ind w:left="3317" w:hanging="251"/>
      </w:pPr>
      <w:rPr>
        <w:rFonts w:hint="default"/>
        <w:lang w:val="en-us" w:eastAsia="en-us" w:bidi="en-us"/>
      </w:rPr>
    </w:lvl>
    <w:lvl w:ilvl="7">
      <w:start w:val="0"/>
      <w:numFmt w:val="bullet"/>
      <w:lvlText w:val="•"/>
      <w:lvlJc w:val="left"/>
      <w:pPr>
        <w:ind w:left="3797" w:hanging="251"/>
      </w:pPr>
      <w:rPr>
        <w:rFonts w:hint="default"/>
        <w:lang w:val="en-us" w:eastAsia="en-us" w:bidi="en-us"/>
      </w:rPr>
    </w:lvl>
    <w:lvl w:ilvl="8">
      <w:start w:val="0"/>
      <w:numFmt w:val="bullet"/>
      <w:lvlText w:val="•"/>
      <w:lvlJc w:val="left"/>
      <w:pPr>
        <w:ind w:left="4276" w:hanging="251"/>
      </w:pPr>
      <w:rPr>
        <w:rFonts w:hint="default"/>
        <w:lang w:val="en-us" w:eastAsia="en-us" w:bidi="en-us"/>
      </w:rPr>
    </w:lvl>
  </w:abstractNum>
  <w:num w:numId="26">
    <w:abstractNumId w:val="25"/>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6"/>
      <w:szCs w:val="16"/>
      <w:lang w:val="en-us" w:eastAsia="en-us" w:bidi="en-us"/>
    </w:rPr>
  </w:style>
  <w:style w:styleId="Heading1" w:type="paragraph">
    <w:name w:val="Heading 1"/>
    <w:basedOn w:val="Normal"/>
    <w:uiPriority w:val="1"/>
    <w:qFormat/>
    <w:pPr>
      <w:spacing w:before="18"/>
      <w:ind w:left="-2" w:hanging="447"/>
      <w:outlineLvl w:val="1"/>
    </w:pPr>
    <w:rPr>
      <w:rFonts w:ascii="Arial" w:hAnsi="Arial" w:eastAsia="Arial" w:cs="Arial"/>
      <w:b/>
      <w:bCs/>
      <w:sz w:val="17"/>
      <w:szCs w:val="17"/>
      <w:lang w:val="en-us" w:eastAsia="en-us" w:bidi="en-us"/>
    </w:rPr>
  </w:style>
  <w:style w:styleId="Heading2" w:type="paragraph">
    <w:name w:val="Heading 2"/>
    <w:basedOn w:val="Normal"/>
    <w:uiPriority w:val="1"/>
    <w:qFormat/>
    <w:pPr>
      <w:outlineLvl w:val="2"/>
    </w:pPr>
    <w:rPr>
      <w:rFonts w:ascii="Arial" w:hAnsi="Arial" w:eastAsia="Arial" w:cs="Arial"/>
      <w:sz w:val="17"/>
      <w:szCs w:val="17"/>
      <w:lang w:val="en-us" w:eastAsia="en-us" w:bidi="en-us"/>
    </w:rPr>
  </w:style>
  <w:style w:styleId="Heading3" w:type="paragraph">
    <w:name w:val="Heading 3"/>
    <w:basedOn w:val="Normal"/>
    <w:uiPriority w:val="1"/>
    <w:qFormat/>
    <w:pPr>
      <w:ind w:left="140"/>
      <w:outlineLvl w:val="3"/>
    </w:pPr>
    <w:rPr>
      <w:rFonts w:ascii="Arial" w:hAnsi="Arial" w:eastAsia="Arial" w:cs="Arial"/>
      <w:b/>
      <w:bCs/>
      <w:sz w:val="16"/>
      <w:szCs w:val="16"/>
      <w:lang w:val="en-us" w:eastAsia="en-us" w:bidi="en-us"/>
    </w:rPr>
  </w:style>
  <w:style w:styleId="Heading4" w:type="paragraph">
    <w:name w:val="Heading 4"/>
    <w:basedOn w:val="Normal"/>
    <w:uiPriority w:val="1"/>
    <w:qFormat/>
    <w:pPr>
      <w:ind w:left="139"/>
      <w:outlineLvl w:val="4"/>
    </w:pPr>
    <w:rPr>
      <w:rFonts w:ascii="Arial" w:hAnsi="Arial" w:eastAsia="Arial" w:cs="Arial"/>
      <w:b/>
      <w:bCs/>
      <w:i/>
      <w:sz w:val="16"/>
      <w:szCs w:val="16"/>
      <w:lang w:val="en-us" w:eastAsia="en-us" w:bidi="en-us"/>
    </w:rPr>
  </w:style>
  <w:style w:styleId="ListParagraph" w:type="paragraph">
    <w:name w:val="List Paragraph"/>
    <w:basedOn w:val="Normal"/>
    <w:uiPriority w:val="1"/>
    <w:qFormat/>
    <w:pPr>
      <w:ind w:left="439" w:hanging="420"/>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fda.gov/medwatch"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header" Target="header3.xml"/><Relationship Id="rId28" Type="http://schemas.openxmlformats.org/officeDocument/2006/relationships/hyperlink" Target="http://womensmentalhealth.org/clinical-and-research-programs/pregnancyregistry/" TargetMode="External"/><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image" Target="media/image50.png"/><Relationship Id="rId61" Type="http://schemas.openxmlformats.org/officeDocument/2006/relationships/image" Target="media/image51.png"/><Relationship Id="rId62" Type="http://schemas.openxmlformats.org/officeDocument/2006/relationships/image" Target="media/image52.png"/><Relationship Id="rId63" Type="http://schemas.openxmlformats.org/officeDocument/2006/relationships/image" Target="media/image53.png"/><Relationship Id="rId64" Type="http://schemas.openxmlformats.org/officeDocument/2006/relationships/image" Target="media/image54.png"/><Relationship Id="rId65" Type="http://schemas.openxmlformats.org/officeDocument/2006/relationships/image" Target="media/image55.png"/><Relationship Id="rId66" Type="http://schemas.openxmlformats.org/officeDocument/2006/relationships/image" Target="media/image56.png"/><Relationship Id="rId67" Type="http://schemas.openxmlformats.org/officeDocument/2006/relationships/image" Target="media/image57.png"/><Relationship Id="rId68" Type="http://schemas.openxmlformats.org/officeDocument/2006/relationships/image" Target="media/image58.png"/><Relationship Id="rId69" Type="http://schemas.openxmlformats.org/officeDocument/2006/relationships/image" Target="media/image59.png"/><Relationship Id="rId70" Type="http://schemas.openxmlformats.org/officeDocument/2006/relationships/image" Target="media/image60.png"/><Relationship Id="rId71" Type="http://schemas.openxmlformats.org/officeDocument/2006/relationships/image" Target="media/image61.png"/><Relationship Id="rId72" Type="http://schemas.openxmlformats.org/officeDocument/2006/relationships/image" Target="media/image62.png"/><Relationship Id="rId73" Type="http://schemas.openxmlformats.org/officeDocument/2006/relationships/image" Target="media/image63.png"/><Relationship Id="rId74" Type="http://schemas.openxmlformats.org/officeDocument/2006/relationships/image" Target="media/image64.png"/><Relationship Id="rId75" Type="http://schemas.openxmlformats.org/officeDocument/2006/relationships/image" Target="media/image65.png"/><Relationship Id="rId76" Type="http://schemas.openxmlformats.org/officeDocument/2006/relationships/header" Target="header4.xml"/><Relationship Id="rId77" Type="http://schemas.openxmlformats.org/officeDocument/2006/relationships/footer" Target="footer2.xml"/><Relationship Id="rId78" Type="http://schemas.openxmlformats.org/officeDocument/2006/relationships/header" Target="header5.xml"/><Relationship Id="rId79" Type="http://schemas.openxmlformats.org/officeDocument/2006/relationships/footer" Target="footer3.xml"/><Relationship Id="rId80" Type="http://schemas.openxmlformats.org/officeDocument/2006/relationships/hyperlink" Target="http://www.ABILIFYMAINTENA.com/" TargetMode="External"/><Relationship Id="rId8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2019-07-25T16:58:14Z</dcterms:created>
  <dcterms:modified xsi:type="dcterms:W3CDTF">2019-07-25T16:58:14Z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Adobe InDesign CC 14.0 (Macintosh)</vt:lpwstr>
  </property>
  <property fmtid="{D5CDD505-2E9C-101B-9397-08002B2CF9AE}" pid="4" name="LastSaved">
    <vt:filetime>2019-07-25T00:00:00Z</vt:filetime>
  </property>
</Properties>
</file>